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tLeast"/>
        <w:ind w:left="0" w:right="0"/>
        <w:jc w:val="center"/>
        <w:rPr>
          <w:sz w:val="24"/>
          <w:szCs w:val="24"/>
        </w:rPr>
      </w:pPr>
      <w:r>
        <w:rPr>
          <w:rFonts w:hint="eastAsia" w:ascii="方正小标宋简体" w:hAnsi="方正小标宋简体" w:eastAsia="方正小标宋简体" w:cs="方正小标宋简体"/>
          <w:color w:val="333333"/>
          <w:sz w:val="43"/>
          <w:szCs w:val="43"/>
          <w:bdr w:val="none" w:color="auto" w:sz="0" w:space="0"/>
          <w:shd w:val="clear" w:fill="FFFFFF"/>
          <w:lang w:eastAsia="zh-CN"/>
        </w:rPr>
        <w:t>鄂州</w:t>
      </w:r>
      <w:r>
        <w:rPr>
          <w:rFonts w:ascii="方正小标宋简体" w:hAnsi="方正小标宋简体" w:eastAsia="方正小标宋简体" w:cs="方正小标宋简体"/>
          <w:color w:val="333333"/>
          <w:sz w:val="43"/>
          <w:szCs w:val="43"/>
          <w:bdr w:val="none" w:color="auto" w:sz="0" w:space="0"/>
          <w:shd w:val="clear" w:fill="FFFFFF"/>
        </w:rPr>
        <w:t>市</w:t>
      </w:r>
      <w:r>
        <w:rPr>
          <w:rFonts w:hint="eastAsia" w:ascii="方正小标宋简体" w:hAnsi="方正小标宋简体" w:eastAsia="方正小标宋简体" w:cs="方正小标宋简体"/>
          <w:color w:val="333333"/>
          <w:sz w:val="43"/>
          <w:szCs w:val="43"/>
          <w:bdr w:val="none" w:color="auto" w:sz="0" w:space="0"/>
          <w:shd w:val="clear" w:fill="FFFFFF"/>
          <w:lang w:eastAsia="zh-CN"/>
        </w:rPr>
        <w:t>公共资源交易监督</w:t>
      </w:r>
      <w:r>
        <w:rPr>
          <w:rFonts w:ascii="方正小标宋简体" w:hAnsi="方正小标宋简体" w:eastAsia="方正小标宋简体" w:cs="方正小标宋简体"/>
          <w:color w:val="333333"/>
          <w:sz w:val="43"/>
          <w:szCs w:val="43"/>
          <w:bdr w:val="none" w:color="auto" w:sz="0" w:space="0"/>
          <w:shd w:val="clear" w:fill="FFFFFF"/>
        </w:rPr>
        <w:t>管理局随机抽查事项清单</w:t>
      </w:r>
    </w:p>
    <w:tbl>
      <w:tblPr>
        <w:tblW w:w="5000" w:type="pct"/>
        <w:tblInd w:w="0" w:type="dxa"/>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tblLayout w:type="autofit"/>
        <w:tblCellMar>
          <w:top w:w="150" w:type="dxa"/>
          <w:left w:w="0" w:type="dxa"/>
          <w:bottom w:w="150" w:type="dxa"/>
          <w:right w:w="0" w:type="dxa"/>
        </w:tblCellMar>
      </w:tblPr>
      <w:tblGrid>
        <w:gridCol w:w="481"/>
        <w:gridCol w:w="1248"/>
        <w:gridCol w:w="5700"/>
        <w:gridCol w:w="737"/>
        <w:gridCol w:w="842"/>
        <w:gridCol w:w="1715"/>
        <w:gridCol w:w="872"/>
        <w:gridCol w:w="857"/>
        <w:gridCol w:w="858"/>
        <w:gridCol w:w="858"/>
      </w:tblGrid>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tblCellMar>
            <w:top w:w="150" w:type="dxa"/>
            <w:left w:w="0" w:type="dxa"/>
            <w:bottom w:w="150" w:type="dxa"/>
            <w:right w:w="0" w:type="dxa"/>
          </w:tblCellMar>
        </w:tblPrEx>
        <w:trPr>
          <w:trHeight w:val="645" w:hRule="atLeast"/>
        </w:trPr>
        <w:tc>
          <w:tcPr>
            <w:tcW w:w="4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序号</w:t>
            </w:r>
          </w:p>
        </w:tc>
        <w:tc>
          <w:tcPr>
            <w:tcW w:w="1245"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抽查事项</w:t>
            </w:r>
          </w:p>
        </w:tc>
        <w:tc>
          <w:tcPr>
            <w:tcW w:w="5685"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抽查依据</w:t>
            </w:r>
          </w:p>
        </w:tc>
        <w:tc>
          <w:tcPr>
            <w:tcW w:w="735"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抽查主体</w:t>
            </w:r>
          </w:p>
        </w:tc>
        <w:tc>
          <w:tcPr>
            <w:tcW w:w="840"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抽查对象</w:t>
            </w:r>
          </w:p>
        </w:tc>
        <w:tc>
          <w:tcPr>
            <w:tcW w:w="1710"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抽查内容</w:t>
            </w:r>
          </w:p>
        </w:tc>
        <w:tc>
          <w:tcPr>
            <w:tcW w:w="870"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抽查方式</w:t>
            </w:r>
          </w:p>
        </w:tc>
        <w:tc>
          <w:tcPr>
            <w:tcW w:w="855"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抽查比例</w:t>
            </w:r>
          </w:p>
        </w:tc>
        <w:tc>
          <w:tcPr>
            <w:tcW w:w="855"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抽查频率</w:t>
            </w:r>
          </w:p>
        </w:tc>
        <w:tc>
          <w:tcPr>
            <w:tcW w:w="855" w:type="dxa"/>
            <w:tcBorders>
              <w:top w:val="single" w:color="999999" w:sz="6" w:space="0"/>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315" w:lineRule="atLeast"/>
              <w:jc w:val="center"/>
              <w:rPr>
                <w:sz w:val="24"/>
                <w:szCs w:val="24"/>
              </w:rPr>
            </w:pPr>
            <w:r>
              <w:rPr>
                <w:rFonts w:hint="eastAsia" w:ascii="黑体" w:hAnsi="宋体" w:eastAsia="黑体" w:cs="黑体"/>
                <w:color w:val="666666"/>
                <w:sz w:val="24"/>
                <w:szCs w:val="24"/>
                <w:bdr w:val="none" w:color="auto" w:sz="0" w:space="0"/>
              </w:rPr>
              <w:t>备注</w:t>
            </w:r>
          </w:p>
        </w:tc>
      </w:tr>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tblCellMar>
            <w:top w:w="150" w:type="dxa"/>
            <w:left w:w="0" w:type="dxa"/>
            <w:bottom w:w="150" w:type="dxa"/>
            <w:right w:w="0" w:type="dxa"/>
          </w:tblCellMar>
        </w:tblPrEx>
        <w:trPr>
          <w:trHeight w:val="645" w:hRule="atLeast"/>
        </w:trPr>
        <w:tc>
          <w:tcPr>
            <w:tcW w:w="480" w:type="dxa"/>
            <w:tcBorders>
              <w:top w:val="nil"/>
              <w:left w:val="single" w:color="999999" w:sz="6" w:space="0"/>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ascii="仿宋_GB2312" w:hAnsi="微软雅黑" w:eastAsia="仿宋_GB2312" w:cs="仿宋_GB2312"/>
                <w:color w:val="666666"/>
                <w:sz w:val="24"/>
                <w:szCs w:val="24"/>
                <w:bdr w:val="none" w:color="auto" w:sz="0" w:space="0"/>
              </w:rPr>
              <w:t>1</w:t>
            </w:r>
          </w:p>
        </w:tc>
        <w:tc>
          <w:tcPr>
            <w:tcW w:w="1245"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rPr>
              <w:t>对进入公共资源交易中心招标项目实施检查</w:t>
            </w:r>
          </w:p>
        </w:tc>
        <w:tc>
          <w:tcPr>
            <w:tcW w:w="5685"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jc w:val="center"/>
              <w:rPr>
                <w:sz w:val="24"/>
                <w:szCs w:val="24"/>
              </w:rPr>
            </w:pPr>
            <w:r>
              <w:rPr>
                <w:rStyle w:val="6"/>
                <w:rFonts w:hint="eastAsia" w:ascii="仿宋_GB2312" w:hAnsi="微软雅黑" w:eastAsia="仿宋_GB2312" w:cs="仿宋_GB2312"/>
                <w:color w:val="666666"/>
                <w:sz w:val="24"/>
                <w:szCs w:val="24"/>
                <w:bdr w:val="none" w:color="auto" w:sz="0" w:space="0"/>
              </w:rPr>
              <w:t>【法规】《中华人民共和国招标投标法实施条例》（2011年11月30日国务院令第613号）</w:t>
            </w:r>
          </w:p>
          <w:p>
            <w:pPr>
              <w:pStyle w:val="3"/>
              <w:keepNext w:val="0"/>
              <w:keepLines w:val="0"/>
              <w:widowControl/>
              <w:suppressLineNumbers w:val="0"/>
              <w:spacing w:after="150" w:afterAutospacing="0"/>
              <w:jc w:val="center"/>
              <w:rPr>
                <w:sz w:val="24"/>
                <w:szCs w:val="24"/>
              </w:rPr>
            </w:pPr>
            <w:r>
              <w:rPr>
                <w:rFonts w:hint="eastAsia" w:ascii="仿宋_GB2312" w:hAnsi="微软雅黑" w:eastAsia="仿宋_GB2312" w:cs="仿宋_GB2312"/>
                <w:color w:val="666666"/>
                <w:sz w:val="24"/>
                <w:szCs w:val="24"/>
                <w:bdr w:val="none" w:color="auto" w:sz="0" w:space="0"/>
              </w:rPr>
              <w:t>　　第四条　国务院发展改革部门指导和协调全国招标投标工作，对国家重大建设项目的工程招标投标活动实施监督检查。……县级以上地方人民政府发展改革部门指导和协调本行政区域的招标投标工作。……县级以上地方人民政府对其所属部门有关招标投标活动的监督职责分工另有规定的，从其规定。</w:t>
            </w:r>
          </w:p>
          <w:p>
            <w:pPr>
              <w:pStyle w:val="3"/>
              <w:keepNext w:val="0"/>
              <w:keepLines w:val="0"/>
              <w:widowControl/>
              <w:suppressLineNumbers w:val="0"/>
              <w:spacing w:after="150" w:afterAutospacing="0"/>
              <w:jc w:val="center"/>
              <w:rPr>
                <w:sz w:val="24"/>
                <w:szCs w:val="24"/>
              </w:rPr>
            </w:pPr>
            <w:r>
              <w:rPr>
                <w:rStyle w:val="6"/>
                <w:rFonts w:hint="eastAsia" w:ascii="仿宋_GB2312" w:hAnsi="微软雅黑" w:eastAsia="仿宋_GB2312" w:cs="仿宋_GB2312"/>
                <w:color w:val="666666"/>
                <w:sz w:val="24"/>
                <w:szCs w:val="24"/>
                <w:bdr w:val="none" w:color="auto" w:sz="0" w:space="0"/>
              </w:rPr>
              <w:t>【法规】《湖北省公共资源招标投标监督管理条例》（2015年5月28日省人大常委会公告第一百七十八号）</w:t>
            </w:r>
          </w:p>
          <w:p>
            <w:pPr>
              <w:pStyle w:val="3"/>
              <w:keepNext w:val="0"/>
              <w:keepLines w:val="0"/>
              <w:widowControl/>
              <w:suppressLineNumbers w:val="0"/>
              <w:spacing w:after="150" w:afterAutospacing="0"/>
              <w:jc w:val="center"/>
              <w:rPr>
                <w:sz w:val="24"/>
                <w:szCs w:val="24"/>
              </w:rPr>
            </w:pPr>
            <w:r>
              <w:rPr>
                <w:rFonts w:hint="eastAsia" w:ascii="仿宋_GB2312" w:hAnsi="微软雅黑" w:eastAsia="仿宋_GB2312" w:cs="仿宋_GB2312"/>
                <w:color w:val="666666"/>
                <w:sz w:val="24"/>
                <w:szCs w:val="24"/>
                <w:bdr w:val="none" w:color="auto" w:sz="0" w:space="0"/>
              </w:rPr>
              <w:t>　　第二十三条　综合监督管理机构负责协调、监督处理进入公共资源交易中心项目招标投标活动的投诉；综合监督管理机构或者有关行政监督部门收到投诉后，应当自收到投诉之日起三日内作出是否受理的决定；对于不属于本部门职责范围的，应当移送有管辖权的机关处理，并告知投诉人；</w:t>
            </w:r>
          </w:p>
          <w:p>
            <w:pPr>
              <w:pStyle w:val="3"/>
              <w:keepNext w:val="0"/>
              <w:keepLines w:val="0"/>
              <w:widowControl/>
              <w:suppressLineNumbers w:val="0"/>
              <w:spacing w:after="150" w:afterAutospacing="0"/>
              <w:jc w:val="center"/>
              <w:rPr>
                <w:sz w:val="24"/>
                <w:szCs w:val="24"/>
              </w:rPr>
            </w:pPr>
            <w:r>
              <w:rPr>
                <w:rFonts w:hint="eastAsia" w:ascii="仿宋_GB2312" w:hAnsi="微软雅黑" w:eastAsia="仿宋_GB2312" w:cs="仿宋_GB2312"/>
                <w:color w:val="666666"/>
                <w:sz w:val="24"/>
                <w:szCs w:val="24"/>
                <w:bdr w:val="none" w:color="auto" w:sz="0" w:space="0"/>
              </w:rPr>
              <w:t>　　第二十五条　综合监督管理机构和有关行政监督部门应当加强对公共资源招标投标违法行为的监督检查，发现问题及时查处，并互通情况。有关行政监督部门应当加强对公共资源招标投标履约行为的监督检查，发现问题及时查处，并将结果通报综合监督管理机构。</w:t>
            </w:r>
          </w:p>
          <w:p>
            <w:pPr>
              <w:pStyle w:val="3"/>
              <w:keepNext w:val="0"/>
              <w:keepLines w:val="0"/>
              <w:widowControl/>
              <w:suppressLineNumbers w:val="0"/>
              <w:spacing w:after="150" w:afterAutospacing="0"/>
              <w:jc w:val="center"/>
              <w:rPr>
                <w:sz w:val="24"/>
                <w:szCs w:val="24"/>
              </w:rPr>
            </w:pPr>
            <w:r>
              <w:rPr>
                <w:rFonts w:hint="eastAsia" w:ascii="仿宋_GB2312" w:hAnsi="微软雅黑" w:eastAsia="仿宋_GB2312" w:cs="仿宋_GB2312"/>
                <w:color w:val="666666"/>
                <w:sz w:val="24"/>
                <w:szCs w:val="24"/>
                <w:bdr w:val="none" w:color="auto" w:sz="0" w:space="0"/>
              </w:rPr>
              <w:t>　　第三十三条　有关行政监督部门应当在十五日内，将本部门对招标人、招标代理机构、投标人、评标委员会成员等当事人违法行为的行政处理决定，通报综合监督管理机构。综合监督管理机构应当在收到处理决定信息后五日内，将当事人违法违规不良记录在公共服务平台予以公布。</w:t>
            </w:r>
          </w:p>
          <w:p>
            <w:pPr>
              <w:pStyle w:val="3"/>
              <w:keepNext w:val="0"/>
              <w:keepLines w:val="0"/>
              <w:widowControl/>
              <w:suppressLineNumbers w:val="0"/>
              <w:spacing w:after="150" w:afterAutospacing="0" w:line="240" w:lineRule="atLeast"/>
              <w:ind w:left="0" w:firstLine="480"/>
              <w:jc w:val="center"/>
              <w:rPr>
                <w:sz w:val="24"/>
                <w:szCs w:val="24"/>
              </w:rPr>
            </w:pPr>
            <w:r>
              <w:rPr>
                <w:rFonts w:hint="eastAsia" w:ascii="仿宋_GB2312" w:hAnsi="微软雅黑" w:eastAsia="仿宋_GB2312" w:cs="仿宋_GB2312"/>
                <w:color w:val="666666"/>
                <w:sz w:val="24"/>
                <w:szCs w:val="24"/>
                <w:bdr w:val="none" w:color="auto" w:sz="0" w:space="0"/>
              </w:rPr>
              <w:t>第四十条　在招标投标活动中串通投标、以他人名义投标或者以其他方式弄虚作假骗取中标的，由有关行政监督部门依法查处，综合监督管理机构协调监督。</w:t>
            </w:r>
          </w:p>
          <w:p>
            <w:pPr>
              <w:pStyle w:val="3"/>
              <w:keepNext w:val="0"/>
              <w:keepLines w:val="0"/>
              <w:widowControl/>
              <w:suppressLineNumbers w:val="0"/>
              <w:spacing w:after="150" w:afterAutospacing="0"/>
              <w:jc w:val="center"/>
              <w:rPr>
                <w:sz w:val="24"/>
                <w:szCs w:val="24"/>
              </w:rPr>
            </w:pPr>
            <w:r>
              <w:rPr>
                <w:rStyle w:val="6"/>
                <w:rFonts w:hint="eastAsia" w:ascii="仿宋_GB2312" w:hAnsi="微软雅黑" w:eastAsia="仿宋_GB2312" w:cs="仿宋_GB2312"/>
                <w:color w:val="666666"/>
                <w:sz w:val="24"/>
                <w:szCs w:val="24"/>
                <w:bdr w:val="none" w:color="auto" w:sz="0" w:space="0"/>
              </w:rPr>
              <w:t>【规章】《湖北省招标投标管理办法》（2007年6月4日省政府令第306号）</w:t>
            </w:r>
          </w:p>
          <w:p>
            <w:pPr>
              <w:pStyle w:val="3"/>
              <w:keepNext w:val="0"/>
              <w:keepLines w:val="0"/>
              <w:widowControl/>
              <w:suppressLineNumbers w:val="0"/>
              <w:spacing w:after="150" w:afterAutospacing="0" w:line="240" w:lineRule="atLeast"/>
              <w:ind w:left="0" w:firstLine="480"/>
              <w:jc w:val="center"/>
              <w:rPr>
                <w:sz w:val="24"/>
                <w:szCs w:val="24"/>
              </w:rPr>
            </w:pPr>
            <w:bookmarkStart w:id="0" w:name="_GoBack"/>
            <w:bookmarkEnd w:id="0"/>
            <w:r>
              <w:rPr>
                <w:rFonts w:hint="eastAsia" w:ascii="仿宋_GB2312" w:hAnsi="微软雅黑" w:eastAsia="仿宋_GB2312" w:cs="仿宋_GB2312"/>
                <w:color w:val="666666"/>
                <w:sz w:val="24"/>
                <w:szCs w:val="24"/>
                <w:bdr w:val="none" w:color="auto" w:sz="0" w:space="0"/>
              </w:rPr>
              <w:t>第三十三条　省发展改革行政主管部门在招标投标行政监督管理中履行以下职责：（四）对本省行政区域内重大建设项目的招投标进行监督检查。</w:t>
            </w:r>
          </w:p>
        </w:tc>
        <w:tc>
          <w:tcPr>
            <w:tcW w:w="735"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rPr>
              <w:t> </w:t>
            </w:r>
          </w:p>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lang w:eastAsia="zh-CN"/>
              </w:rPr>
              <w:t>鄂州</w:t>
            </w:r>
            <w:r>
              <w:rPr>
                <w:rFonts w:hint="eastAsia" w:ascii="仿宋_GB2312" w:hAnsi="微软雅黑" w:eastAsia="仿宋_GB2312" w:cs="仿宋_GB2312"/>
                <w:color w:val="666666"/>
                <w:sz w:val="24"/>
                <w:szCs w:val="24"/>
                <w:bdr w:val="none" w:color="auto" w:sz="0" w:space="0"/>
              </w:rPr>
              <w:t>市</w:t>
            </w:r>
            <w:r>
              <w:rPr>
                <w:rFonts w:hint="eastAsia" w:ascii="仿宋_GB2312" w:hAnsi="微软雅黑" w:eastAsia="仿宋_GB2312" w:cs="仿宋_GB2312"/>
                <w:color w:val="666666"/>
                <w:sz w:val="24"/>
                <w:szCs w:val="24"/>
                <w:bdr w:val="none" w:color="auto" w:sz="0" w:space="0"/>
                <w:shd w:val="clear" w:fill="FFFFFF"/>
              </w:rPr>
              <w:t>公共资源交易监督管理局</w:t>
            </w:r>
          </w:p>
        </w:tc>
        <w:tc>
          <w:tcPr>
            <w:tcW w:w="840"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rPr>
              <w:t>招标人、投标人、招标代理机构、评标专家</w:t>
            </w:r>
          </w:p>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rPr>
              <w:t> </w:t>
            </w:r>
          </w:p>
        </w:tc>
        <w:tc>
          <w:tcPr>
            <w:tcW w:w="1710"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rPr>
              <w:t>1.遵守法律、法规和规章的情况；</w:t>
            </w:r>
            <w:r>
              <w:rPr>
                <w:rFonts w:hint="eastAsia" w:ascii="仿宋_GB2312" w:hAnsi="微软雅黑" w:eastAsia="仿宋_GB2312" w:cs="仿宋_GB2312"/>
                <w:color w:val="666666"/>
                <w:sz w:val="24"/>
                <w:szCs w:val="24"/>
                <w:bdr w:val="none" w:color="auto" w:sz="0" w:space="0"/>
              </w:rPr>
              <w:br w:type="textWrapping"/>
            </w:r>
            <w:r>
              <w:rPr>
                <w:rFonts w:hint="eastAsia" w:ascii="仿宋_GB2312" w:hAnsi="微软雅黑" w:eastAsia="仿宋_GB2312" w:cs="仿宋_GB2312"/>
                <w:color w:val="666666"/>
                <w:sz w:val="24"/>
                <w:szCs w:val="24"/>
                <w:bdr w:val="none" w:color="auto" w:sz="0" w:space="0"/>
              </w:rPr>
              <w:t>  2.遵守招投标程序和评标专家履职的情况；</w:t>
            </w:r>
            <w:r>
              <w:rPr>
                <w:rFonts w:hint="eastAsia" w:ascii="仿宋_GB2312" w:hAnsi="微软雅黑" w:eastAsia="仿宋_GB2312" w:cs="仿宋_GB2312"/>
                <w:color w:val="666666"/>
                <w:sz w:val="24"/>
                <w:szCs w:val="24"/>
                <w:bdr w:val="none" w:color="auto" w:sz="0" w:space="0"/>
              </w:rPr>
              <w:br w:type="textWrapping"/>
            </w:r>
            <w:r>
              <w:rPr>
                <w:rFonts w:hint="eastAsia" w:ascii="仿宋_GB2312" w:hAnsi="微软雅黑" w:eastAsia="仿宋_GB2312" w:cs="仿宋_GB2312"/>
                <w:color w:val="666666"/>
                <w:sz w:val="24"/>
                <w:szCs w:val="24"/>
                <w:bdr w:val="none" w:color="auto" w:sz="0" w:space="0"/>
              </w:rPr>
              <w:t>  3.招标代理机构执业的情况；</w:t>
            </w:r>
            <w:r>
              <w:rPr>
                <w:rFonts w:hint="eastAsia" w:ascii="仿宋_GB2312" w:hAnsi="微软雅黑" w:eastAsia="仿宋_GB2312" w:cs="仿宋_GB2312"/>
                <w:color w:val="666666"/>
                <w:sz w:val="24"/>
                <w:szCs w:val="24"/>
                <w:bdr w:val="none" w:color="auto" w:sz="0" w:space="0"/>
              </w:rPr>
              <w:br w:type="textWrapping"/>
            </w:r>
            <w:r>
              <w:rPr>
                <w:rFonts w:hint="eastAsia" w:ascii="仿宋_GB2312" w:hAnsi="微软雅黑" w:eastAsia="仿宋_GB2312" w:cs="仿宋_GB2312"/>
                <w:color w:val="666666"/>
                <w:sz w:val="24"/>
                <w:szCs w:val="24"/>
                <w:bdr w:val="none" w:color="auto" w:sz="0" w:space="0"/>
              </w:rPr>
              <w:t>  4.法律、法规和规章规定的其他事项。</w:t>
            </w:r>
          </w:p>
        </w:tc>
        <w:tc>
          <w:tcPr>
            <w:tcW w:w="870"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rPr>
              <w:t>实地核查、书面检查</w:t>
            </w:r>
          </w:p>
        </w:tc>
        <w:tc>
          <w:tcPr>
            <w:tcW w:w="855"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rFonts w:hint="default" w:eastAsiaTheme="minorEastAsia"/>
                <w:sz w:val="24"/>
                <w:szCs w:val="24"/>
                <w:lang w:val="en-US" w:eastAsia="zh-CN"/>
              </w:rPr>
            </w:pPr>
            <w:r>
              <w:rPr>
                <w:rFonts w:hint="eastAsia"/>
                <w:sz w:val="24"/>
                <w:szCs w:val="24"/>
                <w:lang w:val="en-US" w:eastAsia="zh-CN"/>
              </w:rPr>
              <w:t>不低于5%</w:t>
            </w:r>
          </w:p>
        </w:tc>
        <w:tc>
          <w:tcPr>
            <w:tcW w:w="855"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pStyle w:val="3"/>
              <w:keepNext w:val="0"/>
              <w:keepLines w:val="0"/>
              <w:widowControl/>
              <w:suppressLineNumbers w:val="0"/>
              <w:spacing w:after="150" w:afterAutospacing="0" w:line="240" w:lineRule="atLeast"/>
              <w:jc w:val="center"/>
              <w:rPr>
                <w:sz w:val="24"/>
                <w:szCs w:val="24"/>
              </w:rPr>
            </w:pPr>
            <w:r>
              <w:rPr>
                <w:rFonts w:hint="eastAsia" w:ascii="仿宋_GB2312" w:hAnsi="微软雅黑" w:eastAsia="仿宋_GB2312" w:cs="仿宋_GB2312"/>
                <w:color w:val="666666"/>
                <w:sz w:val="24"/>
                <w:szCs w:val="24"/>
                <w:bdr w:val="none" w:color="auto" w:sz="0" w:space="0"/>
              </w:rPr>
              <w:t>≥1</w:t>
            </w:r>
            <w:bookmarkStart w:id="1" w:name="_GoBack"/>
            <w:bookmarkEnd w:id="1"/>
            <w:r>
              <w:rPr>
                <w:rFonts w:hint="eastAsia" w:ascii="仿宋_GB2312" w:hAnsi="微软雅黑" w:eastAsia="仿宋_GB2312" w:cs="仿宋_GB2312"/>
                <w:color w:val="666666"/>
                <w:sz w:val="24"/>
                <w:szCs w:val="24"/>
                <w:bdr w:val="none" w:color="auto" w:sz="0" w:space="0"/>
              </w:rPr>
              <w:t>次/年</w:t>
            </w:r>
          </w:p>
        </w:tc>
        <w:tc>
          <w:tcPr>
            <w:tcW w:w="855" w:type="dxa"/>
            <w:tcBorders>
              <w:top w:val="nil"/>
              <w:left w:val="nil"/>
              <w:bottom w:val="single" w:color="999999" w:sz="6" w:space="0"/>
              <w:right w:val="single" w:color="999999"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666666"/>
                <w:sz w:val="24"/>
                <w:szCs w:val="24"/>
              </w:rPr>
            </w:pPr>
          </w:p>
        </w:tc>
      </w:tr>
    </w:tbl>
    <w:p>
      <w:pPr>
        <w:pStyle w:val="3"/>
        <w:keepNext w:val="0"/>
        <w:keepLines w:val="0"/>
        <w:widowControl/>
        <w:suppressLineNumbers w:val="0"/>
        <w:spacing w:before="0" w:beforeAutospacing="0" w:after="302" w:afterAutospacing="0" w:line="570" w:lineRule="atLeast"/>
        <w:ind w:left="0" w:right="0"/>
        <w:jc w:val="left"/>
        <w:rPr>
          <w:sz w:val="24"/>
          <w:szCs w:val="24"/>
        </w:rPr>
      </w:pPr>
      <w:r>
        <w:rPr>
          <w:rFonts w:hint="default" w:ascii="Times New Roman" w:hAnsi="Times New Roman" w:eastAsia="微软雅黑" w:cs="Times New Roman"/>
          <w:color w:val="333333"/>
          <w:sz w:val="31"/>
          <w:szCs w:val="31"/>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A3EE4"/>
    <w:rsid w:val="4FB4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2021-11-09T02:18:21Z</dcterms:created>
  <dc:creator>Administrator</dc:creator>
  <cp:lastModifiedBy>圆圆</cp:lastModifiedBy>
  <dcterms:modified xsi:type="dcterms:W3CDTF">2021-11-09T02:29:24Z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F6F5546695E64BB48AA632D2CB20B864</vt:lpwstr>
  </property>
</Properties>
</file>