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4963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z w:val="44"/>
          <w:szCs w:val="44"/>
          <w:highlight w:val="none"/>
        </w:rPr>
      </w:pPr>
      <w:bookmarkStart w:id="0" w:name="_Hlk171586224"/>
      <w:r>
        <w:rPr>
          <w:rFonts w:hint="eastAsia" w:ascii="方正大标宋简体" w:hAnsi="方正大标宋简体" w:eastAsia="方正大标宋简体" w:cs="方正大标宋简体"/>
          <w:sz w:val="44"/>
          <w:szCs w:val="44"/>
          <w:highlight w:val="none"/>
          <w:lang w:eastAsia="zh-CN"/>
        </w:rPr>
        <w:t>鄂州市</w:t>
      </w:r>
      <w:bookmarkEnd w:id="0"/>
      <w:r>
        <w:rPr>
          <w:rFonts w:hint="eastAsia" w:ascii="方正小标宋简体" w:hAnsi="方正小标宋简体" w:eastAsia="方正小标宋简体" w:cs="方正小标宋简体"/>
          <w:color w:val="auto"/>
          <w:sz w:val="44"/>
          <w:szCs w:val="44"/>
          <w:highlight w:val="none"/>
        </w:rPr>
        <w:t>公共数据资源授权运营实施方案</w:t>
      </w:r>
    </w:p>
    <w:p w14:paraId="31596E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w:t>
      </w:r>
      <w:r>
        <w:rPr>
          <w:rFonts w:hint="eastAsia" w:ascii="楷体_GB2312" w:hAnsi="楷体_GB2312" w:eastAsia="楷体_GB2312" w:cs="楷体_GB2312"/>
          <w:color w:val="auto"/>
          <w:sz w:val="32"/>
          <w:szCs w:val="32"/>
          <w:highlight w:val="none"/>
          <w:lang w:val="en-US" w:eastAsia="zh-CN"/>
        </w:rPr>
        <w:t>公开征求意见稿</w:t>
      </w:r>
      <w:r>
        <w:rPr>
          <w:rFonts w:hint="eastAsia" w:ascii="仿宋" w:hAnsi="仿宋" w:eastAsia="仿宋" w:cs="仿宋"/>
          <w:sz w:val="32"/>
          <w:szCs w:val="32"/>
          <w:highlight w:val="none"/>
          <w:lang w:val="en-US" w:eastAsia="zh-CN"/>
        </w:rPr>
        <w:t>）</w:t>
      </w:r>
    </w:p>
    <w:p w14:paraId="30AB429B">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为规范公共数据开发利用，加快推进公共数据授权运营，进一步释放数据要素活力，赋能数字经济发展，</w:t>
      </w:r>
      <w:r>
        <w:rPr>
          <w:rFonts w:hint="eastAsia" w:ascii="仿宋" w:hAnsi="仿宋" w:eastAsia="仿宋" w:cs="仿宋"/>
          <w:sz w:val="32"/>
          <w:szCs w:val="32"/>
          <w:highlight w:val="none"/>
        </w:rPr>
        <w:t>根据《公共数据资源授权运营实施规范（试行）</w:t>
      </w:r>
      <w:r>
        <w:rPr>
          <w:rFonts w:hint="eastAsia" w:ascii="仿宋" w:hAnsi="仿宋" w:eastAsia="仿宋" w:cs="仿宋"/>
          <w:sz w:val="32"/>
          <w:szCs w:val="32"/>
          <w:highlight w:val="none"/>
          <w:lang w:eastAsia="zh-CN"/>
        </w:rPr>
        <w:t>》（发改数据规〔2025〕27号）</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湖北</w:t>
      </w:r>
      <w:r>
        <w:rPr>
          <w:rFonts w:hint="eastAsia" w:ascii="仿宋" w:hAnsi="仿宋" w:eastAsia="仿宋" w:cs="仿宋"/>
          <w:sz w:val="32"/>
          <w:szCs w:val="32"/>
          <w:highlight w:val="none"/>
        </w:rPr>
        <w:t>省公共数据</w:t>
      </w:r>
      <w:r>
        <w:rPr>
          <w:rFonts w:hint="eastAsia" w:ascii="仿宋" w:hAnsi="仿宋" w:eastAsia="仿宋" w:cs="仿宋"/>
          <w:sz w:val="32"/>
          <w:szCs w:val="32"/>
          <w:highlight w:val="none"/>
          <w:lang w:eastAsia="zh-CN"/>
        </w:rPr>
        <w:t>资源</w:t>
      </w:r>
      <w:r>
        <w:rPr>
          <w:rFonts w:hint="eastAsia" w:ascii="仿宋" w:hAnsi="仿宋" w:eastAsia="仿宋" w:cs="仿宋"/>
          <w:sz w:val="32"/>
          <w:szCs w:val="32"/>
          <w:highlight w:val="none"/>
        </w:rPr>
        <w:t>授权运营</w:t>
      </w:r>
      <w:r>
        <w:rPr>
          <w:rFonts w:hint="eastAsia" w:ascii="仿宋" w:hAnsi="仿宋" w:eastAsia="仿宋" w:cs="仿宋"/>
          <w:sz w:val="32"/>
          <w:szCs w:val="32"/>
          <w:highlight w:val="none"/>
          <w:lang w:eastAsia="zh-CN"/>
        </w:rPr>
        <w:t>实施</w:t>
      </w:r>
      <w:r>
        <w:rPr>
          <w:rFonts w:hint="eastAsia" w:ascii="仿宋" w:hAnsi="仿宋" w:eastAsia="仿宋" w:cs="仿宋"/>
          <w:sz w:val="32"/>
          <w:szCs w:val="32"/>
          <w:highlight w:val="none"/>
        </w:rPr>
        <w:t>办法（试行）</w:t>
      </w:r>
      <w:r>
        <w:rPr>
          <w:rFonts w:hint="eastAsia" w:ascii="仿宋" w:hAnsi="仿宋" w:eastAsia="仿宋" w:cs="仿宋"/>
          <w:sz w:val="32"/>
          <w:szCs w:val="32"/>
          <w:highlight w:val="none"/>
          <w:lang w:eastAsia="zh-CN"/>
        </w:rPr>
        <w:t>》（鄂政办发〔2025〕35号）</w:t>
      </w:r>
      <w:r>
        <w:rPr>
          <w:rFonts w:hint="eastAsia" w:ascii="仿宋" w:hAnsi="仿宋" w:eastAsia="仿宋" w:cs="仿宋"/>
          <w:sz w:val="32"/>
          <w:szCs w:val="32"/>
          <w:highlight w:val="none"/>
          <w:lang w:val="en-US" w:eastAsia="zh-CN"/>
        </w:rPr>
        <w:t>文件精神，</w:t>
      </w:r>
      <w:r>
        <w:rPr>
          <w:rFonts w:hint="eastAsia" w:ascii="仿宋" w:hAnsi="仿宋" w:eastAsia="仿宋" w:cs="仿宋"/>
          <w:sz w:val="32"/>
          <w:szCs w:val="32"/>
          <w:highlight w:val="none"/>
        </w:rPr>
        <w:t>结合我</w:t>
      </w:r>
      <w:r>
        <w:rPr>
          <w:rFonts w:hint="eastAsia" w:ascii="仿宋" w:hAnsi="仿宋" w:eastAsia="仿宋" w:cs="仿宋"/>
          <w:sz w:val="32"/>
          <w:szCs w:val="32"/>
          <w:highlight w:val="none"/>
          <w:lang w:eastAsia="zh-CN"/>
        </w:rPr>
        <w:t>市</w:t>
      </w:r>
      <w:r>
        <w:rPr>
          <w:rFonts w:hint="eastAsia" w:ascii="仿宋" w:hAnsi="仿宋" w:eastAsia="仿宋" w:cs="仿宋"/>
          <w:sz w:val="32"/>
          <w:szCs w:val="32"/>
          <w:highlight w:val="none"/>
        </w:rPr>
        <w:t>实际，制定本方案。</w:t>
      </w:r>
    </w:p>
    <w:p w14:paraId="4B406D20">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一、工作目标</w:t>
      </w:r>
    </w:p>
    <w:p w14:paraId="58637AED">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坚持以习近平新时代中国特色社会主义思想为指导，以数据要素市场化配置改革为主线，坚持</w:t>
      </w:r>
      <w:r>
        <w:rPr>
          <w:rFonts w:hint="eastAsia" w:ascii="仿宋" w:hAnsi="仿宋" w:eastAsia="仿宋" w:cs="仿宋"/>
          <w:color w:val="auto"/>
          <w:sz w:val="32"/>
          <w:szCs w:val="32"/>
          <w:highlight w:val="none"/>
          <w:lang w:eastAsia="zh-CN"/>
        </w:rPr>
        <w:t>依法合规、公平公正、公益优先、合理收益、安全可控的原则，</w:t>
      </w:r>
      <w:r>
        <w:rPr>
          <w:rFonts w:hint="eastAsia" w:ascii="仿宋" w:hAnsi="仿宋" w:eastAsia="仿宋" w:cs="仿宋"/>
          <w:color w:val="auto"/>
          <w:sz w:val="32"/>
          <w:szCs w:val="32"/>
          <w:highlight w:val="none"/>
          <w:lang w:val="en-US" w:eastAsia="zh-CN"/>
        </w:rPr>
        <w:t>统筹开展全市公共数据授权运营。</w:t>
      </w:r>
    </w:p>
    <w:p w14:paraId="29A1CE6E">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i w:val="0"/>
          <w:iCs w:val="0"/>
          <w:caps w:val="0"/>
          <w:color w:val="000000"/>
          <w:spacing w:val="0"/>
          <w:sz w:val="31"/>
          <w:szCs w:val="31"/>
          <w:shd w:val="clear" w:fill="FFFFFF"/>
          <w:lang w:eastAsia="zh-CN"/>
        </w:rPr>
      </w:pPr>
      <w:r>
        <w:rPr>
          <w:rFonts w:hint="eastAsia" w:ascii="仿宋" w:hAnsi="仿宋" w:eastAsia="仿宋" w:cs="仿宋"/>
          <w:color w:val="auto"/>
          <w:sz w:val="32"/>
          <w:szCs w:val="32"/>
          <w:highlight w:val="none"/>
          <w:lang w:val="en-US" w:eastAsia="zh-CN"/>
        </w:rPr>
        <w:t>建成鄂州市公共数据资源授权运营平台（以下简称市授权运营平台），</w:t>
      </w:r>
      <w:r>
        <w:rPr>
          <w:rFonts w:hint="eastAsia" w:ascii="仿宋" w:hAnsi="仿宋" w:eastAsia="仿宋" w:cs="仿宋"/>
          <w:sz w:val="32"/>
          <w:szCs w:val="32"/>
          <w:highlight w:val="none"/>
          <w:lang w:val="en-US" w:eastAsia="zh-CN"/>
        </w:rPr>
        <w:t>建立公共数据开发利用机制，</w:t>
      </w:r>
      <w:r>
        <w:rPr>
          <w:rFonts w:hint="eastAsia" w:ascii="仿宋" w:hAnsi="仿宋" w:eastAsia="仿宋" w:cs="仿宋"/>
          <w:color w:val="auto"/>
          <w:sz w:val="32"/>
          <w:szCs w:val="32"/>
          <w:highlight w:val="none"/>
        </w:rPr>
        <w:t>规范公共数据资源授权运营工作流程</w:t>
      </w:r>
      <w:r>
        <w:rPr>
          <w:rFonts w:hint="eastAsia" w:ascii="仿宋" w:hAnsi="仿宋" w:eastAsia="仿宋" w:cs="仿宋"/>
          <w:color w:val="auto"/>
          <w:sz w:val="32"/>
          <w:szCs w:val="32"/>
          <w:highlight w:val="none"/>
          <w:lang w:eastAsia="zh-CN"/>
        </w:rPr>
        <w:t>，</w:t>
      </w:r>
      <w:r>
        <w:rPr>
          <w:rFonts w:ascii="仿宋" w:hAnsi="仿宋" w:eastAsia="仿宋" w:cs="仿宋"/>
          <w:i w:val="0"/>
          <w:iCs w:val="0"/>
          <w:caps w:val="0"/>
          <w:color w:val="000000"/>
          <w:spacing w:val="0"/>
          <w:sz w:val="31"/>
          <w:szCs w:val="31"/>
          <w:shd w:val="clear" w:fill="FFFFFF"/>
        </w:rPr>
        <w:t>形成一批有价值、可推广的数据产品和服务，培育一批</w:t>
      </w:r>
      <w:r>
        <w:rPr>
          <w:rFonts w:hint="eastAsia" w:ascii="仿宋" w:hAnsi="仿宋" w:eastAsia="仿宋" w:cs="仿宋"/>
          <w:i w:val="0"/>
          <w:iCs w:val="0"/>
          <w:caps w:val="0"/>
          <w:color w:val="000000"/>
          <w:spacing w:val="0"/>
          <w:sz w:val="31"/>
          <w:szCs w:val="31"/>
          <w:shd w:val="clear" w:fill="FFFFFF"/>
          <w:lang w:eastAsia="zh-CN"/>
        </w:rPr>
        <w:t>数据服务商和第三方专业服务机构</w:t>
      </w:r>
      <w:r>
        <w:rPr>
          <w:rFonts w:ascii="仿宋" w:hAnsi="仿宋" w:eastAsia="仿宋" w:cs="仿宋"/>
          <w:i w:val="0"/>
          <w:iCs w:val="0"/>
          <w:caps w:val="0"/>
          <w:color w:val="000000"/>
          <w:spacing w:val="0"/>
          <w:sz w:val="31"/>
          <w:szCs w:val="31"/>
          <w:shd w:val="clear" w:fill="FFFFFF"/>
        </w:rPr>
        <w:t>，构建公共数据产权、流通交易、收益分配、安全治理等数据基础制度</w:t>
      </w:r>
      <w:r>
        <w:rPr>
          <w:rFonts w:hint="eastAsia" w:ascii="仿宋" w:hAnsi="仿宋" w:eastAsia="仿宋" w:cs="仿宋"/>
          <w:i w:val="0"/>
          <w:iCs w:val="0"/>
          <w:caps w:val="0"/>
          <w:color w:val="000000"/>
          <w:spacing w:val="0"/>
          <w:sz w:val="31"/>
          <w:szCs w:val="31"/>
          <w:shd w:val="clear" w:fill="FFFFFF"/>
          <w:lang w:eastAsia="zh-CN"/>
        </w:rPr>
        <w:t>。</w:t>
      </w:r>
    </w:p>
    <w:p w14:paraId="0CE7C9B5">
      <w:pPr>
        <w:keepNext w:val="0"/>
        <w:keepLines w:val="0"/>
        <w:pageBreakBefore w:val="0"/>
        <w:numPr>
          <w:ilvl w:val="0"/>
          <w:numId w:val="1"/>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lang w:val="en-US" w:eastAsia="zh-CN"/>
        </w:rPr>
        <w:t>主要</w:t>
      </w:r>
      <w:r>
        <w:rPr>
          <w:rFonts w:hint="eastAsia" w:ascii="黑体" w:hAnsi="黑体" w:eastAsia="黑体" w:cs="黑体"/>
          <w:bCs/>
          <w:sz w:val="32"/>
          <w:szCs w:val="32"/>
          <w:highlight w:val="none"/>
        </w:rPr>
        <w:t>任务</w:t>
      </w:r>
    </w:p>
    <w:p w14:paraId="1756009B">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outlineLvl w:val="1"/>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（一）构建全链条授权运营体系</w:t>
      </w:r>
    </w:p>
    <w:p w14:paraId="116E8C39">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outlineLvl w:val="1"/>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1.优化公共数据供给。</w:t>
      </w:r>
      <w:r>
        <w:rPr>
          <w:rFonts w:hint="eastAsia" w:ascii="仿宋" w:hAnsi="仿宋" w:eastAsia="仿宋" w:cs="仿宋"/>
          <w:kern w:val="2"/>
          <w:sz w:val="32"/>
          <w:szCs w:val="32"/>
          <w:highlight w:val="none"/>
          <w:lang w:val="en-US" w:eastAsia="zh-CN" w:bidi="ar-SA"/>
        </w:rPr>
        <w:t>市数据局组织编制全市公共数据资源目录，各部门负责本级部门公共数据资源目录编制、汇聚治理、分类分级、质量管理等工作，并建立目录动态更新机制，及时更新维护，推动公共数据资源按需供给。公共数据资源目录应当明确目录名称、数据项、提供单位、数据格式、更新频率、使用条件、分类分级等信息。</w:t>
      </w:r>
    </w:p>
    <w:p w14:paraId="391FED4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643"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2.明确授权运营模式。</w:t>
      </w:r>
      <w:r>
        <w:rPr>
          <w:rFonts w:hint="eastAsia" w:ascii="仿宋" w:hAnsi="仿宋" w:eastAsia="仿宋" w:cs="仿宋"/>
          <w:color w:val="auto"/>
          <w:sz w:val="32"/>
          <w:szCs w:val="32"/>
          <w:highlight w:val="none"/>
        </w:rPr>
        <w:t>采用整体授权模式</w:t>
      </w:r>
      <w:r>
        <w:rPr>
          <w:rFonts w:hint="eastAsia" w:ascii="仿宋" w:hAnsi="仿宋" w:eastAsia="仿宋" w:cs="仿宋"/>
          <w:color w:val="auto"/>
          <w:sz w:val="32"/>
          <w:szCs w:val="32"/>
          <w:highlight w:val="none"/>
          <w:lang w:val="en-US" w:eastAsia="zh-CN"/>
        </w:rPr>
        <w:t>推进全市公共数据资源综合开发利用。在数据增值潜力显著，利于经济社会发展、产业赋能和科学研究的部分领域，可采取个别授权方式对特定范围的公共数据资源开发利用。用于个别授权的公共数据资源，仍可以非排他方式用于整体授权或者其他领域个别授权。运营机构应当按照规范程序在</w:t>
      </w:r>
      <w:r>
        <w:rPr>
          <w:rFonts w:hint="eastAsia" w:ascii="仿宋" w:hAnsi="仿宋" w:eastAsia="仿宋" w:cs="仿宋"/>
          <w:color w:val="auto"/>
          <w:sz w:val="32"/>
          <w:szCs w:val="32"/>
          <w:highlight w:val="none"/>
        </w:rPr>
        <w:t>授权范围内</w:t>
      </w:r>
      <w:r>
        <w:rPr>
          <w:rFonts w:hint="eastAsia" w:ascii="仿宋" w:hAnsi="仿宋" w:eastAsia="仿宋" w:cs="仿宋"/>
          <w:color w:val="auto"/>
          <w:sz w:val="32"/>
          <w:szCs w:val="32"/>
          <w:highlight w:val="none"/>
          <w:lang w:val="en-US" w:eastAsia="zh-CN"/>
        </w:rPr>
        <w:t>开展业务，运营机构不得直接或间接参与授权范围内已交付的公共数据产品和服务再开发。运营机构可结合市场需求对授权范围内的数据开展清洗、转换和关联等治理工作，形成可供数据产品开发商用于场景建设的数据服务。</w:t>
      </w:r>
      <w:r>
        <w:rPr>
          <w:rFonts w:hint="eastAsia" w:ascii="仿宋" w:hAnsi="仿宋" w:eastAsia="仿宋" w:cs="仿宋"/>
          <w:sz w:val="32"/>
          <w:szCs w:val="32"/>
          <w:highlight w:val="none"/>
          <w:lang w:val="en-US" w:eastAsia="zh-CN"/>
        </w:rPr>
        <w:t>数据提供单位不得自行授权，不得擅自以合作开发、委托开发等方式变相将公共数据授权给社会机构或企业。</w:t>
      </w:r>
    </w:p>
    <w:p w14:paraId="51A31A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643" w:firstLineChars="200"/>
        <w:jc w:val="both"/>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3.明确授权运营范围。</w:t>
      </w:r>
      <w:r>
        <w:rPr>
          <w:rFonts w:hint="eastAsia" w:ascii="仿宋" w:hAnsi="仿宋" w:eastAsia="仿宋" w:cs="仿宋"/>
          <w:color w:val="auto"/>
          <w:sz w:val="32"/>
          <w:szCs w:val="32"/>
          <w:highlight w:val="none"/>
          <w:lang w:val="en-US" w:eastAsia="zh-CN"/>
        </w:rPr>
        <w:t>全市各级国家机关、企事业单位在依法履职或提供公共服务过程中产生的具有利用价值的公共数据资源，在不危害国家安全、公共利益，不侵犯商业秘密和个人隐私、个人信息权益的前提下，纳入授权运营范围。首批授权运营目录见附件2。</w:t>
      </w:r>
    </w:p>
    <w:p w14:paraId="2F699EF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643"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b/>
          <w:bCs/>
          <w:color w:val="auto"/>
          <w:sz w:val="32"/>
          <w:szCs w:val="32"/>
          <w:highlight w:val="none"/>
          <w:lang w:val="en-US" w:eastAsia="zh-CN"/>
        </w:rPr>
        <w:t>4.建设授权运营平台。</w:t>
      </w:r>
      <w:r>
        <w:rPr>
          <w:rFonts w:hint="eastAsia" w:ascii="仿宋" w:hAnsi="仿宋" w:eastAsia="仿宋" w:cs="仿宋"/>
          <w:sz w:val="32"/>
          <w:szCs w:val="32"/>
          <w:highlight w:val="none"/>
          <w:lang w:val="en-US" w:eastAsia="zh-CN"/>
        </w:rPr>
        <w:t>市授权运营平台作为全市公共数据资源授权运营的统一通道，各区不单独建授权运营通道。市级平台对外与省</w:t>
      </w:r>
      <w:r>
        <w:rPr>
          <w:rFonts w:hint="eastAsia" w:ascii="仿宋" w:hAnsi="仿宋" w:eastAsia="仿宋" w:cs="仿宋"/>
          <w:sz w:val="32"/>
          <w:szCs w:val="32"/>
          <w:highlight w:val="none"/>
          <w:lang w:eastAsia="zh-CN"/>
        </w:rPr>
        <w:t>公共数据授权运营</w:t>
      </w:r>
      <w:r>
        <w:rPr>
          <w:rFonts w:hint="eastAsia" w:ascii="仿宋" w:hAnsi="仿宋" w:eastAsia="仿宋" w:cs="仿宋"/>
          <w:sz w:val="32"/>
          <w:szCs w:val="32"/>
          <w:highlight w:val="none"/>
          <w:lang w:val="en-US" w:eastAsia="zh-CN"/>
        </w:rPr>
        <w:t>平台对接，对内与市级大数据能力平台对接，实现公共数据资源互联互通。</w:t>
      </w:r>
    </w:p>
    <w:p w14:paraId="23BC74C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643"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val="en-US" w:eastAsia="zh-CN"/>
        </w:rPr>
        <w:t>5.明确运营机构标准和职责。</w:t>
      </w:r>
      <w:r>
        <w:rPr>
          <w:rFonts w:hint="eastAsia" w:ascii="仿宋" w:hAnsi="仿宋" w:eastAsia="仿宋" w:cs="仿宋"/>
          <w:sz w:val="32"/>
          <w:szCs w:val="32"/>
          <w:highlight w:val="none"/>
          <w:lang w:val="en-US" w:eastAsia="zh-CN"/>
        </w:rPr>
        <w:t>运营机构</w:t>
      </w:r>
      <w:r>
        <w:rPr>
          <w:rFonts w:hint="eastAsia" w:ascii="仿宋" w:hAnsi="仿宋" w:eastAsia="仿宋" w:cs="仿宋"/>
          <w:color w:val="auto"/>
          <w:sz w:val="32"/>
          <w:szCs w:val="32"/>
          <w:highlight w:val="none"/>
        </w:rPr>
        <w:t>应具备较强的数据开发、数据服务、生态运营和数据安全保障能力，经营状况和信誉良好，近3年内未发生网络安全、数据安全事件，符合法律法规和国家政策要求。</w:t>
      </w:r>
      <w:r>
        <w:rPr>
          <w:rFonts w:hint="eastAsia" w:ascii="仿宋" w:hAnsi="仿宋" w:eastAsia="仿宋" w:cs="仿宋"/>
          <w:color w:val="auto"/>
          <w:kern w:val="2"/>
          <w:sz w:val="32"/>
          <w:szCs w:val="32"/>
          <w:highlight w:val="none"/>
          <w:lang w:val="en-US" w:eastAsia="zh-CN" w:bidi="ar-SA"/>
        </w:rPr>
        <w:t>运营机构</w:t>
      </w:r>
      <w:r>
        <w:rPr>
          <w:rFonts w:hint="eastAsia" w:ascii="仿宋" w:hAnsi="仿宋" w:eastAsia="仿宋" w:cs="仿宋"/>
          <w:sz w:val="32"/>
          <w:szCs w:val="32"/>
          <w:highlight w:val="none"/>
        </w:rPr>
        <w:t>负责</w:t>
      </w:r>
      <w:r>
        <w:rPr>
          <w:rFonts w:hint="eastAsia" w:ascii="仿宋" w:hAnsi="仿宋" w:eastAsia="仿宋" w:cs="仿宋"/>
          <w:sz w:val="32"/>
          <w:szCs w:val="32"/>
          <w:highlight w:val="none"/>
          <w:lang w:val="en-US" w:eastAsia="zh-CN"/>
        </w:rPr>
        <w:t>打通</w:t>
      </w:r>
      <w:r>
        <w:rPr>
          <w:rFonts w:hint="eastAsia" w:ascii="仿宋" w:hAnsi="仿宋" w:eastAsia="仿宋" w:cs="仿宋"/>
          <w:sz w:val="32"/>
          <w:szCs w:val="32"/>
          <w:highlight w:val="none"/>
        </w:rPr>
        <w:t>公共数据授权运营</w:t>
      </w:r>
      <w:r>
        <w:rPr>
          <w:rFonts w:hint="eastAsia" w:ascii="仿宋" w:hAnsi="仿宋" w:eastAsia="仿宋" w:cs="仿宋"/>
          <w:sz w:val="32"/>
          <w:szCs w:val="32"/>
          <w:highlight w:val="none"/>
          <w:lang w:val="en-US" w:eastAsia="zh-CN"/>
        </w:rPr>
        <w:t>全流程，开展前期平台运营、</w:t>
      </w:r>
      <w:r>
        <w:rPr>
          <w:rFonts w:hint="eastAsia" w:ascii="仿宋" w:hAnsi="仿宋" w:eastAsia="仿宋" w:cs="仿宋"/>
          <w:sz w:val="32"/>
          <w:szCs w:val="32"/>
          <w:highlight w:val="none"/>
        </w:rPr>
        <w:t>数据管理、运行维护及安全保障等工作</w:t>
      </w:r>
      <w:r>
        <w:rPr>
          <w:rFonts w:hint="eastAsia" w:ascii="仿宋" w:hAnsi="仿宋" w:eastAsia="仿宋" w:cs="仿宋"/>
          <w:sz w:val="32"/>
          <w:szCs w:val="32"/>
          <w:highlight w:val="none"/>
          <w:lang w:eastAsia="zh-CN"/>
        </w:rPr>
        <w:t>。</w:t>
      </w:r>
    </w:p>
    <w:p w14:paraId="2046539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643"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6.明确准入程序。</w:t>
      </w:r>
      <w:r>
        <w:rPr>
          <w:rFonts w:hint="eastAsia" w:ascii="仿宋" w:hAnsi="仿宋" w:eastAsia="仿宋" w:cs="仿宋"/>
          <w:color w:val="auto"/>
          <w:sz w:val="32"/>
          <w:szCs w:val="32"/>
          <w:highlight w:val="none"/>
          <w:lang w:val="en-US" w:eastAsia="zh-CN"/>
        </w:rPr>
        <w:t>运营机构原则上以公开遴选方式确定，由</w:t>
      </w:r>
      <w:r>
        <w:rPr>
          <w:rFonts w:hint="eastAsia" w:ascii="仿宋" w:hAnsi="仿宋" w:eastAsia="仿宋" w:cs="仿宋"/>
          <w:color w:val="auto"/>
          <w:sz w:val="32"/>
          <w:szCs w:val="32"/>
          <w:highlight w:val="none"/>
        </w:rPr>
        <w:t>市数据局通过公开招标、邀请招标、谈判等公平竞争方式对外发布公共数据资源整体授权运营机构征集公告，包括授权模式、授权范围、申报条件、评审标准及有关要求</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申报单位按要求提供申报材料，市数据局组织综合评审，</w:t>
      </w:r>
      <w:r>
        <w:rPr>
          <w:rFonts w:hint="eastAsia" w:ascii="仿宋" w:hAnsi="仿宋" w:eastAsia="仿宋" w:cs="仿宋"/>
          <w:color w:val="auto"/>
          <w:sz w:val="32"/>
          <w:szCs w:val="32"/>
          <w:highlight w:val="none"/>
        </w:rPr>
        <w:t>依法确定运营机构，并面向社会公示，经“三重一大”决策机制审议等程序后，与运营机构签订授权运营协议，协议期限为5年。</w:t>
      </w:r>
    </w:p>
    <w:p w14:paraId="16F6257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643" w:firstLineChars="200"/>
        <w:jc w:val="both"/>
        <w:textAlignment w:val="auto"/>
        <w:rPr>
          <w:rFonts w:hint="eastAsia"/>
        </w:rPr>
      </w:pPr>
      <w:r>
        <w:rPr>
          <w:rFonts w:hint="eastAsia" w:ascii="仿宋" w:hAnsi="仿宋" w:eastAsia="仿宋" w:cs="仿宋"/>
          <w:b/>
          <w:bCs/>
          <w:color w:val="auto"/>
          <w:sz w:val="32"/>
          <w:szCs w:val="32"/>
          <w:highlight w:val="none"/>
          <w:lang w:val="en-US" w:eastAsia="zh-CN"/>
        </w:rPr>
        <w:t>7.明确退出机制。</w:t>
      </w:r>
      <w:r>
        <w:rPr>
          <w:rFonts w:hint="eastAsia" w:ascii="仿宋" w:hAnsi="仿宋" w:eastAsia="仿宋" w:cs="仿宋"/>
          <w:color w:val="auto"/>
          <w:sz w:val="32"/>
          <w:szCs w:val="32"/>
          <w:highlight w:val="none"/>
        </w:rPr>
        <w:t>授权运营协议期满后，运营机构应当退出授权运营活动。运营机构申请提前终止授权运营协议且愿意承担相应违约责任的，可按照程序退出授权运营。运营机构违反授权运营协议、未达到协议约定的经营目标且未按要求整改、存在违反法律法规或者政策规定的其他情形，市数据局可终止授权运营。符合终止授权或退出情形的，应当及时关闭运营机构在授权运营平台中的相关权限。运营机构退出时，应按照授权运营协议约定，妥善移交相关数据资源、数据产品模型、技术文档及运营资料，并确保已销毁所有未经授权留存的数据副本</w:t>
      </w:r>
      <w:r>
        <w:rPr>
          <w:rFonts w:hint="eastAsia" w:ascii="仿宋" w:hAnsi="仿宋" w:eastAsia="仿宋" w:cs="仿宋"/>
          <w:color w:val="auto"/>
          <w:sz w:val="32"/>
          <w:szCs w:val="32"/>
          <w:highlight w:val="none"/>
          <w:lang w:eastAsia="zh-CN"/>
        </w:rPr>
        <w:t>。</w:t>
      </w:r>
    </w:p>
    <w:p w14:paraId="2C093DA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643"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8.健全授权运营制度。</w:t>
      </w:r>
      <w:r>
        <w:rPr>
          <w:rFonts w:hint="eastAsia" w:ascii="仿宋" w:hAnsi="仿宋" w:eastAsia="仿宋" w:cs="仿宋"/>
          <w:color w:val="auto"/>
          <w:sz w:val="32"/>
          <w:szCs w:val="32"/>
          <w:highlight w:val="none"/>
          <w:lang w:val="en-US" w:eastAsia="zh-CN"/>
        </w:rPr>
        <w:t>制定公共数据资源授权运营实施细则等配套制度，加快形成上下一致、左右协同的全市公共数据资源授权运营管理制度体系。</w:t>
      </w:r>
      <w:r>
        <w:rPr>
          <w:rFonts w:hint="eastAsia" w:ascii="仿宋" w:hAnsi="仿宋" w:eastAsia="仿宋" w:cs="仿宋"/>
          <w:sz w:val="32"/>
          <w:szCs w:val="32"/>
          <w:highlight w:val="none"/>
          <w:lang w:eastAsia="zh-CN"/>
        </w:rPr>
        <w:t>市</w:t>
      </w:r>
      <w:r>
        <w:rPr>
          <w:rFonts w:hint="eastAsia" w:ascii="仿宋" w:hAnsi="仿宋" w:eastAsia="仿宋" w:cs="仿宋"/>
          <w:sz w:val="32"/>
          <w:szCs w:val="32"/>
          <w:highlight w:val="none"/>
          <w:lang w:val="en-US" w:eastAsia="zh-CN"/>
        </w:rPr>
        <w:t>数据局</w:t>
      </w:r>
      <w:r>
        <w:rPr>
          <w:rFonts w:hint="eastAsia" w:ascii="仿宋" w:hAnsi="仿宋" w:eastAsia="仿宋" w:cs="仿宋"/>
          <w:sz w:val="32"/>
          <w:szCs w:val="32"/>
          <w:highlight w:val="none"/>
        </w:rPr>
        <w:t>作为</w:t>
      </w:r>
      <w:r>
        <w:rPr>
          <w:rFonts w:hint="eastAsia" w:ascii="仿宋" w:hAnsi="仿宋" w:eastAsia="仿宋" w:cs="仿宋"/>
          <w:sz w:val="32"/>
          <w:szCs w:val="32"/>
          <w:highlight w:val="none"/>
          <w:lang w:eastAsia="zh-CN"/>
        </w:rPr>
        <w:t>鄂州市</w:t>
      </w:r>
      <w:r>
        <w:rPr>
          <w:rFonts w:hint="eastAsia" w:ascii="仿宋" w:hAnsi="仿宋" w:eastAsia="仿宋" w:cs="仿宋"/>
          <w:sz w:val="32"/>
          <w:szCs w:val="32"/>
          <w:highlight w:val="none"/>
        </w:rPr>
        <w:t>公共数据主管单位，负责</w:t>
      </w:r>
      <w:r>
        <w:rPr>
          <w:rFonts w:hint="eastAsia" w:ascii="仿宋" w:hAnsi="仿宋" w:eastAsia="仿宋" w:cs="仿宋"/>
          <w:sz w:val="32"/>
          <w:szCs w:val="32"/>
          <w:highlight w:val="none"/>
          <w:lang w:eastAsia="zh-CN"/>
        </w:rPr>
        <w:t>本市</w:t>
      </w:r>
      <w:r>
        <w:rPr>
          <w:rFonts w:hint="eastAsia" w:ascii="仿宋" w:hAnsi="仿宋" w:eastAsia="仿宋" w:cs="仿宋"/>
          <w:sz w:val="32"/>
          <w:szCs w:val="32"/>
          <w:highlight w:val="none"/>
        </w:rPr>
        <w:t>公共数据授权运营工作的统筹管理、安全监管、监督评价和政策支持等工作</w:t>
      </w:r>
      <w:r>
        <w:rPr>
          <w:rFonts w:hint="eastAsia" w:ascii="仿宋" w:hAnsi="仿宋" w:eastAsia="仿宋" w:cs="仿宋"/>
          <w:color w:val="auto"/>
          <w:sz w:val="32"/>
          <w:szCs w:val="32"/>
          <w:highlight w:val="none"/>
          <w:lang w:eastAsia="zh-CN"/>
        </w:rPr>
        <w:t>。</w:t>
      </w:r>
    </w:p>
    <w:p w14:paraId="2F6AA581">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outlineLvl w:val="1"/>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二</w:t>
      </w:r>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强化全流程</w:t>
      </w:r>
      <w:r>
        <w:rPr>
          <w:rFonts w:ascii="楷体" w:hAnsi="楷体" w:eastAsia="楷体" w:cs="楷体"/>
          <w:b/>
          <w:bCs/>
          <w:spacing w:val="17"/>
          <w:sz w:val="32"/>
          <w:szCs w:val="32"/>
        </w:rPr>
        <w:t>授权</w:t>
      </w:r>
      <w:r>
        <w:rPr>
          <w:rFonts w:hint="eastAsia" w:ascii="楷体" w:hAnsi="楷体" w:eastAsia="楷体" w:cs="楷体"/>
          <w:b/>
          <w:bCs/>
          <w:spacing w:val="17"/>
          <w:sz w:val="32"/>
          <w:szCs w:val="32"/>
          <w:lang w:val="en-US" w:eastAsia="zh-CN"/>
        </w:rPr>
        <w:t>运营</w:t>
      </w:r>
      <w:r>
        <w:rPr>
          <w:rFonts w:ascii="楷体" w:hAnsi="楷体" w:eastAsia="楷体" w:cs="楷体"/>
          <w:b/>
          <w:bCs/>
          <w:spacing w:val="17"/>
          <w:sz w:val="32"/>
          <w:szCs w:val="32"/>
        </w:rPr>
        <w:t>管理</w:t>
      </w:r>
    </w:p>
    <w:p w14:paraId="21AF63B3">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outlineLvl w:val="1"/>
        <w:rPr>
          <w:rFonts w:hint="default" w:ascii="仿宋" w:hAnsi="仿宋" w:eastAsia="仿宋" w:cs="仿宋"/>
          <w:kern w:val="2"/>
          <w:sz w:val="32"/>
          <w:szCs w:val="32"/>
          <w:highlight w:val="none"/>
          <w:lang w:val="en-US" w:eastAsia="zh-CN" w:bidi="ar-SA"/>
        </w:rPr>
      </w:pPr>
      <w:r>
        <w:rPr>
          <w:rFonts w:hint="eastAsia" w:ascii="仿宋" w:hAnsi="仿宋" w:eastAsia="仿宋" w:cs="仿宋"/>
          <w:b/>
          <w:bCs/>
          <w:color w:val="auto"/>
          <w:sz w:val="32"/>
          <w:szCs w:val="32"/>
          <w:highlight w:val="none"/>
          <w:lang w:val="en-US" w:eastAsia="zh-CN"/>
        </w:rPr>
        <w:t>9.加强授权运营目录管理。</w:t>
      </w:r>
      <w:r>
        <w:rPr>
          <w:rFonts w:hint="eastAsia" w:ascii="仿宋" w:hAnsi="仿宋" w:eastAsia="仿宋" w:cs="仿宋"/>
          <w:kern w:val="2"/>
          <w:sz w:val="32"/>
          <w:szCs w:val="32"/>
          <w:highlight w:val="none"/>
          <w:lang w:val="en-US" w:eastAsia="zh-CN" w:bidi="ar-SA"/>
        </w:rPr>
        <w:t>市数据局统筹建立全市公共数据资源授权运营目录，根据授权运营工作需要，综合市场主体数据产品开发需求，商数据提供单位按照公共数据分类分级标注，对授权运营目录进行动态更新。</w:t>
      </w:r>
    </w:p>
    <w:p w14:paraId="3CE56FEE">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outlineLvl w:val="1"/>
        <w:rPr>
          <w:rFonts w:hint="eastAsia" w:ascii="仿宋" w:hAnsi="仿宋" w:eastAsia="仿宋" w:cs="仿宋"/>
          <w:kern w:val="2"/>
          <w:sz w:val="32"/>
          <w:szCs w:val="32"/>
          <w:highlight w:val="none"/>
          <w:lang w:val="en-US" w:eastAsia="zh-CN" w:bidi="ar-SA"/>
        </w:rPr>
      </w:pPr>
      <w:r>
        <w:rPr>
          <w:rFonts w:hint="eastAsia" w:ascii="仿宋" w:hAnsi="仿宋" w:eastAsia="仿宋" w:cs="仿宋"/>
          <w:b/>
          <w:bCs/>
          <w:color w:val="auto"/>
          <w:sz w:val="32"/>
          <w:szCs w:val="32"/>
          <w:highlight w:val="none"/>
          <w:lang w:val="en-US" w:eastAsia="zh-CN"/>
        </w:rPr>
        <w:t>10.规范运营场景流程。</w:t>
      </w:r>
      <w:r>
        <w:rPr>
          <w:rFonts w:hint="eastAsia" w:ascii="仿宋" w:hAnsi="仿宋" w:eastAsia="仿宋" w:cs="仿宋"/>
          <w:kern w:val="2"/>
          <w:sz w:val="32"/>
          <w:szCs w:val="32"/>
          <w:highlight w:val="none"/>
          <w:lang w:val="en-US" w:eastAsia="zh-CN" w:bidi="ar-SA"/>
        </w:rPr>
        <w:t>按照“一场景一方案”原则，运营机构应围绕实际数据需求编制数据使用方案。</w:t>
      </w:r>
      <w:r>
        <w:rPr>
          <w:rFonts w:hint="eastAsia" w:ascii="仿宋" w:hAnsi="仿宋" w:eastAsia="仿宋" w:cs="仿宋"/>
          <w:color w:val="auto"/>
          <w:kern w:val="2"/>
          <w:sz w:val="32"/>
          <w:szCs w:val="32"/>
          <w:highlight w:val="none"/>
          <w:lang w:val="en-US" w:eastAsia="zh-CN" w:bidi="ar-SA"/>
        </w:rPr>
        <w:t>市数据局会同数据提供单位，对场景方案及数据需求清单进行审核，审核同意后，数据提供</w:t>
      </w:r>
      <w:r>
        <w:rPr>
          <w:rFonts w:hint="eastAsia" w:ascii="仿宋" w:hAnsi="仿宋" w:eastAsia="仿宋" w:cs="仿宋"/>
          <w:kern w:val="2"/>
          <w:sz w:val="32"/>
          <w:szCs w:val="32"/>
          <w:highlight w:val="none"/>
          <w:lang w:val="en-US" w:eastAsia="zh-CN" w:bidi="ar-SA"/>
        </w:rPr>
        <w:t>单位按要求时限和路径提供数据，运营机构与数据产品开发商签订场景合作协议，并在规定时间内向市数据局备案。</w:t>
      </w:r>
    </w:p>
    <w:p w14:paraId="334FE3AE">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outlineLvl w:val="1"/>
        <w:rPr>
          <w:rFonts w:hint="eastAsia" w:ascii="仿宋" w:hAnsi="仿宋" w:eastAsia="仿宋" w:cs="仿宋"/>
          <w:kern w:val="2"/>
          <w:sz w:val="32"/>
          <w:szCs w:val="32"/>
          <w:highlight w:val="none"/>
          <w:lang w:val="en-US" w:eastAsia="zh-CN" w:bidi="ar-SA"/>
        </w:rPr>
      </w:pPr>
      <w:r>
        <w:rPr>
          <w:rFonts w:hint="eastAsia" w:ascii="仿宋" w:hAnsi="仿宋" w:eastAsia="仿宋" w:cs="仿宋"/>
          <w:b/>
          <w:bCs/>
          <w:color w:val="auto"/>
          <w:sz w:val="32"/>
          <w:szCs w:val="32"/>
          <w:highlight w:val="none"/>
          <w:lang w:val="en-US" w:eastAsia="zh-CN"/>
        </w:rPr>
        <w:t>11.加强数据产品开发商管理。</w:t>
      </w:r>
      <w:r>
        <w:rPr>
          <w:rFonts w:hint="eastAsia" w:ascii="仿宋" w:hAnsi="仿宋" w:eastAsia="仿宋" w:cs="仿宋"/>
          <w:color w:val="auto"/>
          <w:kern w:val="2"/>
          <w:sz w:val="32"/>
          <w:szCs w:val="32"/>
          <w:highlight w:val="none"/>
          <w:lang w:val="en-US" w:eastAsia="zh-CN" w:bidi="ar-SA"/>
        </w:rPr>
        <w:t>运营机构需制定产品开发商入驻规范、社会数据接入与使用规范，报市数据局审核同意后实施。鼓励数据产品开发商入驻授权运营平台，对运营机构已交付的公共数据产品和服务进行再开发。</w:t>
      </w:r>
      <w:r>
        <w:rPr>
          <w:rFonts w:hint="eastAsia" w:ascii="仿宋" w:hAnsi="仿宋" w:eastAsia="仿宋" w:cs="仿宋"/>
          <w:kern w:val="2"/>
          <w:sz w:val="32"/>
          <w:szCs w:val="32"/>
          <w:highlight w:val="none"/>
          <w:lang w:val="en-US" w:eastAsia="zh-CN" w:bidi="ar-SA"/>
        </w:rPr>
        <w:t>利用公共数据资源开发形成的数据产品和服务，在发布前应提交市数据局组织合规审核，审核通过后应在湖北省公共数据资源登记平台进行登记发布。涉及交易的，鼓励通过省数据交易流通平台或依法设立的其他数据交易场所进行。</w:t>
      </w:r>
    </w:p>
    <w:p w14:paraId="2D30E35F">
      <w:pPr>
        <w:keepNext w:val="0"/>
        <w:keepLines w:val="0"/>
        <w:pageBreakBefore w:val="0"/>
        <w:suppressAutoHyphens/>
        <w:kinsoku/>
        <w:wordWrap/>
        <w:overflowPunct/>
        <w:topLinePunct w:val="0"/>
        <w:autoSpaceDE/>
        <w:autoSpaceDN/>
        <w:bidi w:val="0"/>
        <w:adjustRightInd/>
        <w:snapToGrid/>
        <w:spacing w:line="240" w:lineRule="auto"/>
        <w:ind w:firstLine="643" w:firstLineChars="200"/>
        <w:jc w:val="both"/>
        <w:textAlignment w:val="auto"/>
        <w:outlineLvl w:val="2"/>
        <w:rPr>
          <w:rFonts w:hint="eastAsia" w:ascii="仿宋" w:hAnsi="仿宋" w:eastAsia="仿宋" w:cs="仿宋"/>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12.规范</w:t>
      </w:r>
      <w:r>
        <w:rPr>
          <w:rFonts w:hint="eastAsia" w:ascii="仿宋_GB2312" w:hAnsi="仿宋_GB2312" w:eastAsia="仿宋_GB2312" w:cs="仿宋_GB2312"/>
          <w:b/>
          <w:bCs/>
          <w:color w:val="auto"/>
          <w:sz w:val="32"/>
          <w:szCs w:val="32"/>
          <w:highlight w:val="none"/>
        </w:rPr>
        <w:t>数据产品和服务</w:t>
      </w:r>
      <w:r>
        <w:rPr>
          <w:rFonts w:hint="eastAsia" w:ascii="仿宋_GB2312" w:hAnsi="仿宋_GB2312" w:eastAsia="仿宋_GB2312" w:cs="仿宋_GB2312"/>
          <w:b/>
          <w:bCs/>
          <w:color w:val="auto"/>
          <w:sz w:val="32"/>
          <w:szCs w:val="32"/>
          <w:highlight w:val="none"/>
          <w:lang w:val="en-US" w:eastAsia="zh-CN"/>
        </w:rPr>
        <w:t>定价。</w:t>
      </w:r>
      <w:r>
        <w:rPr>
          <w:rFonts w:hint="eastAsia" w:ascii="仿宋_GB2312" w:hAnsi="仿宋_GB2312" w:eastAsia="仿宋_GB2312" w:cs="仿宋_GB2312"/>
          <w:color w:val="auto"/>
          <w:sz w:val="32"/>
          <w:szCs w:val="32"/>
          <w:highlight w:val="none"/>
        </w:rPr>
        <w:t>运营服务费实行政府指导价管理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按照省有关工作要求，</w:t>
      </w:r>
      <w:r>
        <w:rPr>
          <w:rFonts w:hint="eastAsia" w:ascii="仿宋_GB2312" w:hAnsi="仿宋_GB2312" w:eastAsia="仿宋_GB2312" w:cs="仿宋_GB2312"/>
          <w:color w:val="auto"/>
          <w:sz w:val="32"/>
          <w:szCs w:val="32"/>
          <w:highlight w:val="none"/>
        </w:rPr>
        <w:t>运营机构在不高于省级</w:t>
      </w:r>
      <w:r>
        <w:rPr>
          <w:rFonts w:hint="eastAsia" w:ascii="仿宋_GB2312" w:hAnsi="仿宋_GB2312" w:eastAsia="仿宋_GB2312" w:cs="仿宋_GB2312"/>
          <w:color w:val="auto"/>
          <w:sz w:val="32"/>
          <w:szCs w:val="32"/>
          <w:highlight w:val="none"/>
          <w:lang w:val="en-US" w:eastAsia="zh-CN"/>
        </w:rPr>
        <w:t>部门</w:t>
      </w:r>
      <w:r>
        <w:rPr>
          <w:rFonts w:hint="eastAsia" w:ascii="仿宋_GB2312" w:hAnsi="仿宋_GB2312" w:eastAsia="仿宋_GB2312" w:cs="仿宋_GB2312"/>
          <w:color w:val="auto"/>
          <w:sz w:val="32"/>
          <w:szCs w:val="32"/>
          <w:highlight w:val="none"/>
        </w:rPr>
        <w:t>设定的上限收费标准范围内，确定具体收费标准。收费实行分类管理：公共治理、公益事业类数据产品和服务，免费提供；产业发展、行业发展类数据产品和服务，可收取运营服务费。</w:t>
      </w:r>
    </w:p>
    <w:p w14:paraId="04A1AF67">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outlineLvl w:val="1"/>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三</w:t>
      </w:r>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筑牢全维度安全风险防线</w:t>
      </w:r>
    </w:p>
    <w:p w14:paraId="7D838418">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outlineLvl w:val="1"/>
        <w:rPr>
          <w:rFonts w:hint="default" w:ascii="仿宋" w:hAnsi="仿宋" w:eastAsia="仿宋" w:cs="仿宋"/>
          <w:kern w:val="2"/>
          <w:sz w:val="32"/>
          <w:szCs w:val="32"/>
          <w:highlight w:val="none"/>
          <w:lang w:val="en-US" w:eastAsia="zh-CN" w:bidi="ar-SA"/>
        </w:rPr>
      </w:pPr>
      <w:r>
        <w:rPr>
          <w:rFonts w:hint="eastAsia" w:ascii="仿宋" w:hAnsi="仿宋" w:eastAsia="仿宋" w:cs="仿宋"/>
          <w:b/>
          <w:bCs/>
          <w:color w:val="auto"/>
          <w:sz w:val="32"/>
          <w:szCs w:val="32"/>
          <w:highlight w:val="none"/>
          <w:lang w:val="en-US" w:eastAsia="zh-CN"/>
        </w:rPr>
        <w:t>13.加强数据安全合规监管。</w:t>
      </w:r>
      <w:r>
        <w:rPr>
          <w:rFonts w:hint="eastAsia" w:ascii="仿宋" w:hAnsi="仿宋" w:eastAsia="仿宋" w:cs="仿宋"/>
          <w:color w:val="auto"/>
          <w:kern w:val="2"/>
          <w:sz w:val="32"/>
          <w:szCs w:val="32"/>
          <w:highlight w:val="none"/>
          <w:lang w:val="en-US" w:eastAsia="zh-CN" w:bidi="ar-SA"/>
        </w:rPr>
        <w:t>按照“原始数据不出域、数据可用不可见”的要求，加强全市公共数据授权运营事前评估、全程监管，对公共数据资源授权运营场景可行性、数据需求清单合理性、数据产品合规性等进行审核。严格落实数据安全管理责任，通过管理和技术措施，加强数据关联汇聚风险识别和管控，保障数据安全。加强数据管理、开发利用、产品流通等环节的安全监督检查。加强对未遵守反垄断、反不正当竞争、防范金融风险等法律法规和授权运营规则的行为进行监督检查。</w:t>
      </w:r>
    </w:p>
    <w:p w14:paraId="7EB4F14F">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outlineLvl w:val="1"/>
        <w:rPr>
          <w:rFonts w:hint="default" w:ascii="仿宋" w:hAnsi="仿宋" w:eastAsia="仿宋" w:cs="仿宋"/>
          <w:sz w:val="32"/>
          <w:szCs w:val="32"/>
          <w:highlight w:val="none"/>
          <w:lang w:val="en-US" w:eastAsia="zh-CN"/>
        </w:rPr>
      </w:pPr>
      <w:r>
        <w:rPr>
          <w:rFonts w:hint="eastAsia" w:ascii="仿宋" w:hAnsi="仿宋" w:eastAsia="仿宋" w:cs="仿宋"/>
          <w:b/>
          <w:bCs/>
          <w:color w:val="auto"/>
          <w:sz w:val="32"/>
          <w:szCs w:val="32"/>
          <w:highlight w:val="none"/>
          <w:lang w:val="en-US" w:eastAsia="zh-CN"/>
        </w:rPr>
        <w:t>14.建立收益分配机制。</w:t>
      </w:r>
      <w:r>
        <w:rPr>
          <w:rFonts w:hint="eastAsia" w:ascii="仿宋" w:hAnsi="仿宋" w:eastAsia="仿宋" w:cs="仿宋"/>
          <w:sz w:val="32"/>
          <w:szCs w:val="32"/>
          <w:highlight w:val="none"/>
          <w:lang w:val="en-US" w:eastAsia="zh-CN"/>
        </w:rPr>
        <w:t>按照省市公共数据相关收益分配政策，建立公共数据资源授权运营全链路参与方收益分配机制，根据数据和相关支撑平台设施、人员等投入使用情况论证收益分配。按数据收益贡献程度，作为数源单位数据治理、信息化项目立项、试点示范申请、优秀案例评选等重要参考。</w:t>
      </w:r>
    </w:p>
    <w:p w14:paraId="12B2431B">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outlineLvl w:val="1"/>
        <w:rPr>
          <w:rFonts w:hint="eastAsia" w:ascii="仿宋" w:hAnsi="仿宋" w:eastAsia="仿宋" w:cs="仿宋"/>
          <w:sz w:val="32"/>
          <w:szCs w:val="32"/>
          <w:highlight w:val="none"/>
          <w:lang w:val="en-US" w:eastAsia="zh-CN"/>
        </w:rPr>
      </w:pPr>
      <w:r>
        <w:rPr>
          <w:rFonts w:hint="eastAsia" w:ascii="仿宋" w:hAnsi="仿宋" w:eastAsia="仿宋" w:cs="仿宋"/>
          <w:b/>
          <w:bCs/>
          <w:color w:val="auto"/>
          <w:sz w:val="32"/>
          <w:szCs w:val="32"/>
          <w:highlight w:val="none"/>
          <w:lang w:val="en-US" w:eastAsia="zh-CN"/>
        </w:rPr>
        <w:t>15.建立监督评价机制。</w:t>
      </w:r>
      <w:r>
        <w:rPr>
          <w:rFonts w:hint="eastAsia" w:ascii="仿宋" w:hAnsi="仿宋" w:eastAsia="仿宋" w:cs="仿宋"/>
          <w:sz w:val="32"/>
          <w:szCs w:val="32"/>
          <w:highlight w:val="none"/>
          <w:lang w:val="en-US" w:eastAsia="zh-CN"/>
        </w:rPr>
        <w:t>市数据局定期公开授权对象、内容、范围和时限；运营机构公开数据产品和服务清单及使用情况，接受社会监督。每年由运营机构向市数据局提交授权运营报告，市数据局统筹对授权运营情况进行评估，评估结果将作为运营机构续期或退出的依据。</w:t>
      </w:r>
    </w:p>
    <w:p w14:paraId="6C5F0349">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1"/>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三、组织保障</w:t>
      </w:r>
    </w:p>
    <w:p w14:paraId="3306B2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（一）明确责任分工。</w:t>
      </w:r>
      <w:r>
        <w:rPr>
          <w:rFonts w:hint="eastAsia" w:ascii="仿宋" w:hAnsi="仿宋" w:eastAsia="仿宋" w:cs="仿宋"/>
          <w:sz w:val="32"/>
          <w:szCs w:val="32"/>
          <w:highlight w:val="none"/>
          <w:lang w:val="en-US" w:eastAsia="zh-CN"/>
        </w:rPr>
        <w:t>市数据局负责统筹公共数据资源授权运营工作，健全完善授权运营具体制度规范，会同发改、财政、国资委、市场监管等部门完善数据产品市场化运营管理制度。市委网信办负责数据安全审查，市市场监管局负责反垄断与反不正当竞争监管，市公安局负责数据和网络安全执法，市保密局负责保密审查。</w:t>
      </w:r>
      <w:r>
        <w:rPr>
          <w:rFonts w:hint="eastAsia" w:ascii="仿宋" w:hAnsi="仿宋" w:eastAsia="仿宋" w:cs="仿宋"/>
          <w:color w:val="auto"/>
          <w:sz w:val="32"/>
          <w:szCs w:val="32"/>
          <w:highlight w:val="none"/>
          <w:lang w:val="en-US" w:eastAsia="zh-CN"/>
        </w:rPr>
        <w:t>数据提供单位负责本单位数据治理、分类分级、数据</w:t>
      </w:r>
      <w:r>
        <w:rPr>
          <w:rFonts w:hint="eastAsia" w:ascii="仿宋" w:hAnsi="仿宋" w:eastAsia="仿宋" w:cs="仿宋"/>
          <w:sz w:val="32"/>
          <w:szCs w:val="32"/>
          <w:highlight w:val="none"/>
          <w:lang w:val="en-US" w:eastAsia="zh-CN"/>
        </w:rPr>
        <w:t>供给，配合做好应用场景和数据产品审核等工作。</w:t>
      </w:r>
    </w:p>
    <w:p w14:paraId="0DDA362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（二）强化技术保障。</w:t>
      </w:r>
      <w:r>
        <w:rPr>
          <w:rFonts w:hint="eastAsia" w:ascii="仿宋" w:hAnsi="仿宋" w:eastAsia="仿宋" w:cs="仿宋"/>
          <w:sz w:val="32"/>
          <w:szCs w:val="32"/>
          <w:highlight w:val="none"/>
          <w:lang w:val="en-US" w:eastAsia="zh-CN"/>
        </w:rPr>
        <w:t>强化市授权运营平台的数据汇聚、清洗治理、安全加密、隐私计算等核心技术能力，建立平台应急响应机制，定期开展技术安全演练，提升平台应对网络攻击、数据泄露等突发事件的处置能力。</w:t>
      </w:r>
    </w:p>
    <w:p w14:paraId="367C6B4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（三）鼓励场景创新。</w:t>
      </w:r>
      <w:r>
        <w:rPr>
          <w:rFonts w:hint="eastAsia" w:ascii="仿宋" w:hAnsi="仿宋" w:eastAsia="仿宋" w:cs="仿宋"/>
          <w:sz w:val="32"/>
          <w:szCs w:val="32"/>
          <w:highlight w:val="none"/>
          <w:lang w:val="en-US" w:eastAsia="zh-CN"/>
        </w:rPr>
        <w:t>围绕我市产业发展、公共服务、社会治理等重点领域，鼓励数据要素流通模式与应用场景创新，更好发挥数据要素的积极作用，对成功落地且成效显著的创新场景，向上申报典型案例，并予以宣传推广。</w:t>
      </w:r>
    </w:p>
    <w:p w14:paraId="08F3C917">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br w:type="page"/>
      </w:r>
    </w:p>
    <w:p w14:paraId="53A5F6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附件1</w:t>
      </w:r>
    </w:p>
    <w:p w14:paraId="3AF92C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 w:hAnsi="仿宋" w:eastAsia="仿宋" w:cs="仿宋"/>
          <w:sz w:val="32"/>
          <w:szCs w:val="32"/>
          <w:highlight w:val="none"/>
          <w:lang w:val="en-US" w:eastAsia="zh-CN"/>
        </w:rPr>
      </w:pPr>
      <w:r>
        <w:rPr>
          <w:rFonts w:hint="eastAsia" w:ascii="方正公文小标宋" w:hAnsi="方正公文小标宋" w:eastAsia="方正公文小标宋" w:cs="方正公文小标宋"/>
          <w:sz w:val="44"/>
          <w:szCs w:val="44"/>
          <w:highlight w:val="none"/>
          <w:lang w:val="en-US" w:eastAsia="zh-CN"/>
        </w:rPr>
        <w:t>公共数据授权运营用语含义</w:t>
      </w:r>
    </w:p>
    <w:p w14:paraId="762EEA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公共数据，</w:t>
      </w:r>
      <w:r>
        <w:rPr>
          <w:rFonts w:hint="eastAsia" w:ascii="仿宋" w:hAnsi="仿宋" w:eastAsia="仿宋" w:cs="仿宋"/>
          <w:sz w:val="32"/>
          <w:szCs w:val="32"/>
          <w:highlight w:val="none"/>
          <w:lang w:val="en-US" w:eastAsia="zh-CN"/>
        </w:rPr>
        <w:t>是指国家机关、法律法规授权的具有管理公共事务职能的组织和供水、供电、供气、供热、交通运输、教育、医疗、文化旅游、体育、环境保护等公共企业事业单位在依法履行职责或者提供公共服务过程中收集、产生的数据。</w:t>
      </w:r>
    </w:p>
    <w:p w14:paraId="4459EB9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公共数据授权运营，</w:t>
      </w:r>
      <w:r>
        <w:rPr>
          <w:rFonts w:hint="eastAsia" w:ascii="仿宋" w:hAnsi="仿宋" w:eastAsia="仿宋" w:cs="仿宋"/>
          <w:sz w:val="32"/>
          <w:szCs w:val="32"/>
          <w:highlight w:val="none"/>
          <w:lang w:val="en-US" w:eastAsia="zh-CN"/>
        </w:rPr>
        <w:t>是指县级以上人民政府在确保数据安全的前提下，按照法律法规和相关要求，授权符合条件的运营机构对公共数据资源进行加工处理，开发形成数据产品和服务，并向社会提供的行为。</w:t>
      </w:r>
    </w:p>
    <w:p w14:paraId="731EF0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运营机构，</w:t>
      </w:r>
      <w:r>
        <w:rPr>
          <w:rFonts w:hint="eastAsia" w:ascii="仿宋" w:hAnsi="仿宋" w:eastAsia="仿宋" w:cs="仿宋"/>
          <w:sz w:val="32"/>
          <w:szCs w:val="32"/>
          <w:highlight w:val="none"/>
          <w:lang w:val="en-US" w:eastAsia="zh-CN"/>
        </w:rPr>
        <w:t>是指按照规范程序获得授权，对授权范围内的公共数据资源进行开发运营的法人组织。</w:t>
      </w:r>
    </w:p>
    <w:p w14:paraId="250E8C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公共数据授权运营平台，</w:t>
      </w:r>
      <w:r>
        <w:rPr>
          <w:rFonts w:hint="eastAsia" w:ascii="仿宋" w:hAnsi="仿宋" w:eastAsia="仿宋" w:cs="仿宋"/>
          <w:sz w:val="32"/>
          <w:szCs w:val="32"/>
          <w:highlight w:val="none"/>
          <w:lang w:val="en-US" w:eastAsia="zh-CN"/>
        </w:rPr>
        <w:t>是指依托公共数据资源平台集约化建设，为公共数据资源授权运营提供安全可信的数据开发利用环境，对公共数据进行加工处理、开发利用、监督监管等管理服务的数字化系统。</w:t>
      </w:r>
    </w:p>
    <w:p w14:paraId="18F00D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公共数据产品和服务，</w:t>
      </w:r>
      <w:r>
        <w:rPr>
          <w:rFonts w:hint="eastAsia" w:ascii="仿宋" w:hAnsi="仿宋" w:eastAsia="仿宋" w:cs="仿宋"/>
          <w:sz w:val="32"/>
          <w:szCs w:val="32"/>
          <w:highlight w:val="none"/>
          <w:lang w:val="en-US" w:eastAsia="zh-CN"/>
        </w:rPr>
        <w:t>是指利用公共数据资源加工形成的数据集、数据接口、数据模型、数据报告、评价指数等。</w:t>
      </w:r>
    </w:p>
    <w:p w14:paraId="60F163E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数据产品开发商，</w:t>
      </w:r>
      <w:r>
        <w:rPr>
          <w:rFonts w:hint="eastAsia" w:ascii="仿宋" w:hAnsi="仿宋" w:eastAsia="仿宋" w:cs="仿宋"/>
          <w:sz w:val="32"/>
          <w:szCs w:val="32"/>
          <w:highlight w:val="none"/>
          <w:lang w:val="en-US" w:eastAsia="zh-CN"/>
        </w:rPr>
        <w:t>是指依托公共数据授权运营平台，对运营机构加工形成的公共数据产品进行再开发的市场主体。</w:t>
      </w:r>
    </w:p>
    <w:p w14:paraId="295AC48C">
      <w:pPr>
        <w:keepNext w:val="0"/>
        <w:keepLines w:val="0"/>
        <w:pageBreakBefore w:val="0"/>
        <w:widowControl w:val="0"/>
        <w:suppressAutoHyphens/>
        <w:kinsoku/>
        <w:wordWrap/>
        <w:overflowPunct w:val="0"/>
        <w:topLinePunct w:val="0"/>
        <w:autoSpaceDE/>
        <w:autoSpaceDN/>
        <w:bidi w:val="0"/>
        <w:adjustRightInd w:val="0"/>
        <w:snapToGrid/>
        <w:spacing w:after="313" w:afterLines="100" w:line="560" w:lineRule="exact"/>
        <w:ind w:firstLine="0" w:firstLineChars="0"/>
        <w:textAlignment w:val="auto"/>
        <w:outlineLvl w:val="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附件</w:t>
      </w:r>
      <w:r>
        <w:rPr>
          <w:rFonts w:hint="eastAsia" w:ascii="仿宋" w:hAnsi="仿宋" w:eastAsia="仿宋" w:cs="仿宋"/>
          <w:b w:val="0"/>
          <w:bCs w:val="0"/>
          <w:color w:val="auto"/>
          <w:sz w:val="32"/>
          <w:szCs w:val="32"/>
          <w:highlight w:val="none"/>
          <w:lang w:val="en-US" w:eastAsia="zh-CN"/>
        </w:rPr>
        <w:t>2</w:t>
      </w:r>
    </w:p>
    <w:p w14:paraId="54C300A1">
      <w:pPr>
        <w:pStyle w:val="2"/>
        <w:keepNext w:val="0"/>
        <w:keepLines w:val="0"/>
        <w:pageBreakBefore w:val="0"/>
        <w:widowControl w:val="0"/>
        <w:kinsoku/>
        <w:wordWrap/>
        <w:overflowPunct/>
        <w:topLinePunct w:val="0"/>
        <w:autoSpaceDE/>
        <w:autoSpaceDN/>
        <w:bidi w:val="0"/>
        <w:adjustRightInd/>
        <w:snapToGrid/>
        <w:spacing w:line="520" w:lineRule="exact"/>
        <w:ind w:firstLine="561"/>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公共数据授权运营目录（第一批）</w:t>
      </w:r>
    </w:p>
    <w:tbl>
      <w:tblPr>
        <w:tblStyle w:val="15"/>
        <w:tblW w:w="80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9"/>
        <w:gridCol w:w="2736"/>
        <w:gridCol w:w="4572"/>
      </w:tblGrid>
      <w:tr w14:paraId="0D2A2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blHeader/>
          <w:jc w:val="center"/>
        </w:trPr>
        <w:tc>
          <w:tcPr>
            <w:tcW w:w="779" w:type="dxa"/>
            <w:tcBorders>
              <w:top w:val="single" w:color="000000" w:sz="4" w:space="0"/>
              <w:left w:val="single" w:color="000000" w:sz="4" w:space="0"/>
              <w:bottom w:val="single" w:color="000000" w:sz="4" w:space="0"/>
              <w:right w:val="single" w:color="000000" w:sz="4" w:space="0"/>
              <w:tl2br w:val="nil"/>
            </w:tcBorders>
            <w:vAlign w:val="center"/>
          </w:tcPr>
          <w:p w14:paraId="3F0345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 w:hAnsi="仿宋" w:eastAsia="仿宋" w:cs="仿宋"/>
                <w:b/>
                <w:bCs w:val="0"/>
                <w:i w:val="0"/>
                <w:iCs w:val="0"/>
                <w:color w:val="auto"/>
                <w:kern w:val="0"/>
                <w:sz w:val="28"/>
                <w:szCs w:val="28"/>
                <w:u w:val="none"/>
                <w:lang w:val="en-US" w:eastAsia="zh-CN"/>
              </w:rPr>
            </w:pPr>
            <w:r>
              <w:rPr>
                <w:rFonts w:hint="eastAsia" w:ascii="仿宋" w:hAnsi="仿宋" w:eastAsia="仿宋" w:cs="仿宋"/>
                <w:b/>
                <w:bCs w:val="0"/>
                <w:color w:val="auto"/>
                <w:sz w:val="28"/>
                <w:szCs w:val="28"/>
                <w:highlight w:val="none"/>
                <w:lang w:val="en-US" w:eastAsia="zh-CN"/>
              </w:rPr>
              <w:t>序号</w:t>
            </w:r>
          </w:p>
        </w:tc>
        <w:tc>
          <w:tcPr>
            <w:tcW w:w="2736" w:type="dxa"/>
            <w:tcBorders>
              <w:top w:val="single" w:color="000000" w:sz="4" w:space="0"/>
              <w:left w:val="single" w:color="000000" w:sz="4" w:space="0"/>
              <w:bottom w:val="single" w:color="000000" w:sz="4" w:space="0"/>
              <w:right w:val="single" w:color="000000" w:sz="4" w:space="0"/>
            </w:tcBorders>
            <w:vAlign w:val="center"/>
          </w:tcPr>
          <w:p w14:paraId="551A33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数据提供单位</w:t>
            </w:r>
          </w:p>
        </w:tc>
        <w:tc>
          <w:tcPr>
            <w:tcW w:w="4572" w:type="dxa"/>
            <w:tcBorders>
              <w:top w:val="single" w:color="000000" w:sz="4" w:space="0"/>
              <w:left w:val="single" w:color="000000" w:sz="4" w:space="0"/>
              <w:bottom w:val="single" w:color="000000" w:sz="4" w:space="0"/>
              <w:right w:val="single" w:color="000000" w:sz="4" w:space="0"/>
            </w:tcBorders>
            <w:vAlign w:val="center"/>
          </w:tcPr>
          <w:p w14:paraId="4ED31D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数据资源名称</w:t>
            </w:r>
          </w:p>
        </w:tc>
      </w:tr>
      <w:tr w14:paraId="2F12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779" w:type="dxa"/>
            <w:tcBorders>
              <w:top w:val="single" w:color="000000" w:sz="4" w:space="0"/>
              <w:left w:val="single" w:color="000000" w:sz="4" w:space="0"/>
              <w:bottom w:val="single" w:color="000000" w:sz="4" w:space="0"/>
              <w:right w:val="single" w:color="000000" w:sz="4" w:space="0"/>
              <w:tl2br w:val="nil"/>
            </w:tcBorders>
            <w:vAlign w:val="center"/>
          </w:tcPr>
          <w:p w14:paraId="7476A143">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i w:val="0"/>
                <w:iCs w:val="0"/>
                <w:caps w:val="0"/>
                <w:spacing w:val="0"/>
                <w:sz w:val="28"/>
                <w:szCs w:val="28"/>
                <w:shd w:val="clear" w:color="auto" w:fill="FFFFFF"/>
                <w:lang w:val="en-US" w:eastAsia="zh-CN"/>
              </w:rPr>
              <w:t>1</w:t>
            </w:r>
          </w:p>
        </w:tc>
        <w:tc>
          <w:tcPr>
            <w:tcW w:w="2736" w:type="dxa"/>
            <w:tcBorders>
              <w:top w:val="single" w:color="000000" w:sz="4" w:space="0"/>
              <w:left w:val="single" w:color="000000" w:sz="4" w:space="0"/>
              <w:bottom w:val="single" w:color="000000" w:sz="4" w:space="0"/>
              <w:right w:val="single" w:color="000000" w:sz="4" w:space="0"/>
              <w:tl2br w:val="nil"/>
            </w:tcBorders>
            <w:vAlign w:val="center"/>
          </w:tcPr>
          <w:p w14:paraId="7C6F70CE">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sz w:val="28"/>
                <w:szCs w:val="28"/>
              </w:rPr>
              <w:t>市供电公司</w:t>
            </w:r>
          </w:p>
        </w:tc>
        <w:tc>
          <w:tcPr>
            <w:tcW w:w="4572" w:type="dxa"/>
            <w:tcBorders>
              <w:top w:val="single" w:color="000000" w:sz="4" w:space="0"/>
              <w:left w:val="single" w:color="000000" w:sz="4" w:space="0"/>
              <w:bottom w:val="single" w:color="000000" w:sz="4" w:space="0"/>
              <w:right w:val="single" w:color="000000" w:sz="4" w:space="0"/>
            </w:tcBorders>
            <w:vAlign w:val="center"/>
          </w:tcPr>
          <w:p w14:paraId="027B1AFC">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sz w:val="28"/>
                <w:szCs w:val="28"/>
                <w:lang w:val="en-US" w:eastAsia="zh-CN"/>
              </w:rPr>
              <w:t>企业用电</w:t>
            </w:r>
          </w:p>
        </w:tc>
      </w:tr>
      <w:tr w14:paraId="2B838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779" w:type="dxa"/>
            <w:tcBorders>
              <w:top w:val="single" w:color="000000" w:sz="4" w:space="0"/>
              <w:left w:val="single" w:color="000000" w:sz="4" w:space="0"/>
              <w:bottom w:val="single" w:color="000000" w:sz="4" w:space="0"/>
              <w:right w:val="single" w:color="000000" w:sz="4" w:space="0"/>
              <w:tl2br w:val="nil"/>
            </w:tcBorders>
            <w:vAlign w:val="center"/>
          </w:tcPr>
          <w:p w14:paraId="1A9BEB9F">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i w:val="0"/>
                <w:iCs w:val="0"/>
                <w:caps w:val="0"/>
                <w:spacing w:val="0"/>
                <w:sz w:val="28"/>
                <w:szCs w:val="28"/>
                <w:shd w:val="clear" w:color="auto" w:fill="FFFFFF"/>
                <w:lang w:val="en-US" w:eastAsia="zh-CN"/>
              </w:rPr>
              <w:t>2</w:t>
            </w:r>
          </w:p>
        </w:tc>
        <w:tc>
          <w:tcPr>
            <w:tcW w:w="2736" w:type="dxa"/>
            <w:tcBorders>
              <w:top w:val="single" w:color="000000" w:sz="4" w:space="0"/>
              <w:left w:val="single" w:color="000000" w:sz="4" w:space="0"/>
              <w:bottom w:val="single" w:color="000000" w:sz="4" w:space="0"/>
              <w:right w:val="single" w:color="000000" w:sz="4" w:space="0"/>
              <w:tl2br w:val="nil"/>
            </w:tcBorders>
            <w:vAlign w:val="center"/>
          </w:tcPr>
          <w:p w14:paraId="40910CBD">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sz w:val="28"/>
                <w:szCs w:val="28"/>
              </w:rPr>
              <w:t>市水务集团</w:t>
            </w:r>
          </w:p>
        </w:tc>
        <w:tc>
          <w:tcPr>
            <w:tcW w:w="4572" w:type="dxa"/>
            <w:tcBorders>
              <w:top w:val="single" w:color="000000" w:sz="4" w:space="0"/>
              <w:left w:val="single" w:color="000000" w:sz="4" w:space="0"/>
              <w:bottom w:val="single" w:color="000000" w:sz="4" w:space="0"/>
              <w:right w:val="single" w:color="000000" w:sz="4" w:space="0"/>
            </w:tcBorders>
            <w:vAlign w:val="center"/>
          </w:tcPr>
          <w:p w14:paraId="39B2A254">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sz w:val="28"/>
                <w:szCs w:val="28"/>
                <w:lang w:val="en-US" w:eastAsia="zh-CN"/>
              </w:rPr>
              <w:t>企业用水</w:t>
            </w:r>
          </w:p>
        </w:tc>
      </w:tr>
      <w:tr w14:paraId="008D8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779" w:type="dxa"/>
            <w:tcBorders>
              <w:top w:val="single" w:color="000000" w:sz="4" w:space="0"/>
              <w:left w:val="single" w:color="000000" w:sz="4" w:space="0"/>
              <w:bottom w:val="single" w:color="000000" w:sz="4" w:space="0"/>
              <w:right w:val="single" w:color="000000" w:sz="4" w:space="0"/>
              <w:tl2br w:val="nil"/>
            </w:tcBorders>
            <w:vAlign w:val="center"/>
          </w:tcPr>
          <w:p w14:paraId="3E255C9B">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default"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i w:val="0"/>
                <w:iCs w:val="0"/>
                <w:caps w:val="0"/>
                <w:spacing w:val="0"/>
                <w:sz w:val="28"/>
                <w:szCs w:val="28"/>
                <w:shd w:val="clear" w:color="auto" w:fill="FFFFFF"/>
                <w:lang w:val="en-US" w:eastAsia="zh-CN"/>
              </w:rPr>
              <w:t>3</w:t>
            </w:r>
          </w:p>
        </w:tc>
        <w:tc>
          <w:tcPr>
            <w:tcW w:w="2736" w:type="dxa"/>
            <w:tcBorders>
              <w:top w:val="single" w:color="000000" w:sz="4" w:space="0"/>
              <w:left w:val="single" w:color="000000" w:sz="4" w:space="0"/>
              <w:bottom w:val="single" w:color="000000" w:sz="4" w:space="0"/>
              <w:right w:val="single" w:color="000000" w:sz="4" w:space="0"/>
              <w:tl2br w:val="nil"/>
            </w:tcBorders>
            <w:vAlign w:val="center"/>
          </w:tcPr>
          <w:p w14:paraId="2893C4A5">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市住</w:t>
            </w:r>
            <w:r>
              <w:rPr>
                <w:rFonts w:hint="eastAsia" w:ascii="仿宋" w:hAnsi="仿宋" w:eastAsia="仿宋" w:cs="仿宋"/>
                <w:sz w:val="28"/>
                <w:szCs w:val="28"/>
                <w:lang w:val="en-US" w:eastAsia="zh-CN"/>
              </w:rPr>
              <w:t>更</w:t>
            </w:r>
            <w:r>
              <w:rPr>
                <w:rFonts w:hint="eastAsia" w:ascii="仿宋" w:hAnsi="仿宋" w:eastAsia="仿宋" w:cs="仿宋"/>
                <w:sz w:val="28"/>
                <w:szCs w:val="28"/>
              </w:rPr>
              <w:t>局</w:t>
            </w:r>
          </w:p>
        </w:tc>
        <w:tc>
          <w:tcPr>
            <w:tcW w:w="4572" w:type="dxa"/>
            <w:tcBorders>
              <w:top w:val="single" w:color="000000" w:sz="4" w:space="0"/>
              <w:left w:val="single" w:color="000000" w:sz="4" w:space="0"/>
              <w:bottom w:val="single" w:color="000000" w:sz="4" w:space="0"/>
              <w:right w:val="single" w:color="000000" w:sz="4" w:space="0"/>
            </w:tcBorders>
            <w:vAlign w:val="center"/>
          </w:tcPr>
          <w:p w14:paraId="7395E4A3">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住房信息、物业、企业用气</w:t>
            </w:r>
          </w:p>
        </w:tc>
      </w:tr>
      <w:tr w14:paraId="75E4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14:paraId="35B664F1">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i w:val="0"/>
                <w:iCs w:val="0"/>
                <w:caps w:val="0"/>
                <w:spacing w:val="0"/>
                <w:sz w:val="28"/>
                <w:szCs w:val="28"/>
                <w:shd w:val="clear" w:color="auto" w:fill="FFFFFF"/>
                <w:lang w:val="en-US" w:eastAsia="zh-CN"/>
              </w:rPr>
              <w:t>4</w:t>
            </w:r>
          </w:p>
        </w:tc>
        <w:tc>
          <w:tcPr>
            <w:tcW w:w="2736" w:type="dxa"/>
            <w:tcBorders>
              <w:top w:val="single" w:color="000000" w:sz="4" w:space="0"/>
              <w:left w:val="single" w:color="000000" w:sz="4" w:space="0"/>
              <w:bottom w:val="single" w:color="000000" w:sz="4" w:space="0"/>
              <w:right w:val="single" w:color="000000" w:sz="4" w:space="0"/>
            </w:tcBorders>
            <w:vAlign w:val="center"/>
          </w:tcPr>
          <w:p w14:paraId="55002924">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sz w:val="28"/>
                <w:szCs w:val="28"/>
              </w:rPr>
              <w:t>市民政局</w:t>
            </w:r>
          </w:p>
        </w:tc>
        <w:tc>
          <w:tcPr>
            <w:tcW w:w="4572" w:type="dxa"/>
            <w:tcBorders>
              <w:top w:val="single" w:color="000000" w:sz="4" w:space="0"/>
              <w:left w:val="single" w:color="000000" w:sz="4" w:space="0"/>
              <w:bottom w:val="single" w:color="000000" w:sz="4" w:space="0"/>
              <w:right w:val="single" w:color="000000" w:sz="4" w:space="0"/>
            </w:tcBorders>
            <w:vAlign w:val="center"/>
          </w:tcPr>
          <w:p w14:paraId="72B9D047">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sz w:val="28"/>
                <w:szCs w:val="28"/>
                <w:lang w:val="en-US" w:eastAsia="zh-CN"/>
              </w:rPr>
              <w:t>个人婚姻查询</w:t>
            </w:r>
          </w:p>
        </w:tc>
      </w:tr>
      <w:tr w14:paraId="3675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14:paraId="4E19BD2D">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i w:val="0"/>
                <w:iCs w:val="0"/>
                <w:caps w:val="0"/>
                <w:spacing w:val="0"/>
                <w:sz w:val="28"/>
                <w:szCs w:val="28"/>
                <w:shd w:val="clear" w:color="auto" w:fill="FFFFFF"/>
                <w:lang w:val="en-US" w:eastAsia="zh-CN"/>
              </w:rPr>
              <w:t>5</w:t>
            </w:r>
          </w:p>
        </w:tc>
        <w:tc>
          <w:tcPr>
            <w:tcW w:w="2736" w:type="dxa"/>
            <w:tcBorders>
              <w:top w:val="single" w:color="000000" w:sz="4" w:space="0"/>
              <w:left w:val="single" w:color="000000" w:sz="4" w:space="0"/>
              <w:bottom w:val="single" w:color="000000" w:sz="4" w:space="0"/>
              <w:right w:val="single" w:color="000000" w:sz="4" w:space="0"/>
            </w:tcBorders>
            <w:vAlign w:val="center"/>
          </w:tcPr>
          <w:p w14:paraId="0F050EE0">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市公积金管理中心</w:t>
            </w:r>
          </w:p>
        </w:tc>
        <w:tc>
          <w:tcPr>
            <w:tcW w:w="4572" w:type="dxa"/>
            <w:tcBorders>
              <w:top w:val="single" w:color="000000" w:sz="4" w:space="0"/>
              <w:left w:val="single" w:color="000000" w:sz="4" w:space="0"/>
              <w:bottom w:val="single" w:color="000000" w:sz="4" w:space="0"/>
              <w:right w:val="single" w:color="000000" w:sz="4" w:space="0"/>
            </w:tcBorders>
            <w:vAlign w:val="center"/>
          </w:tcPr>
          <w:p w14:paraId="0715D96F">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个人/企业缴纳公积金</w:t>
            </w:r>
          </w:p>
        </w:tc>
      </w:tr>
      <w:tr w14:paraId="7E84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14:paraId="38235466">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i w:val="0"/>
                <w:iCs w:val="0"/>
                <w:caps w:val="0"/>
                <w:spacing w:val="0"/>
                <w:sz w:val="28"/>
                <w:szCs w:val="28"/>
                <w:shd w:val="clear" w:color="auto" w:fill="FFFFFF"/>
                <w:lang w:val="en-US" w:eastAsia="zh-CN"/>
              </w:rPr>
              <w:t>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E05D">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市自然资源</w:t>
            </w:r>
            <w:r>
              <w:rPr>
                <w:rFonts w:hint="eastAsia" w:ascii="仿宋" w:hAnsi="仿宋" w:eastAsia="仿宋" w:cs="仿宋"/>
                <w:sz w:val="28"/>
                <w:szCs w:val="28"/>
                <w:lang w:val="en-US" w:eastAsia="zh-CN"/>
              </w:rPr>
              <w:t>和城乡建设</w:t>
            </w:r>
            <w:r>
              <w:rPr>
                <w:rFonts w:hint="eastAsia" w:ascii="仿宋" w:hAnsi="仿宋" w:eastAsia="仿宋" w:cs="仿宋"/>
                <w:sz w:val="28"/>
                <w:szCs w:val="28"/>
              </w:rPr>
              <w:t>局</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954B">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不动产产权证书信息</w:t>
            </w:r>
          </w:p>
        </w:tc>
      </w:tr>
      <w:tr w14:paraId="4D1E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14:paraId="1EA8CBDA">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i w:val="0"/>
                <w:iCs w:val="0"/>
                <w:caps w:val="0"/>
                <w:spacing w:val="0"/>
                <w:sz w:val="28"/>
                <w:szCs w:val="28"/>
                <w:shd w:val="clear" w:color="auto" w:fill="FFFFFF"/>
                <w:lang w:val="en-US" w:eastAsia="zh-CN"/>
              </w:rPr>
              <w:t>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D4B5">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市卫健委</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B3DA">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门急诊业务信息、住院业务信息、检验检查信息(不含原始影像)</w:t>
            </w:r>
          </w:p>
        </w:tc>
      </w:tr>
      <w:tr w14:paraId="57FFD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14:paraId="12029A82">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i w:val="0"/>
                <w:iCs w:val="0"/>
                <w:caps w:val="0"/>
                <w:spacing w:val="0"/>
                <w:sz w:val="28"/>
                <w:szCs w:val="28"/>
                <w:shd w:val="clear" w:color="auto" w:fill="FFFFFF"/>
                <w:lang w:val="en-US" w:eastAsia="zh-CN"/>
              </w:rPr>
              <w:t>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CB2C">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市医保局</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E943">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个人/企业缴纳医保</w:t>
            </w:r>
          </w:p>
        </w:tc>
      </w:tr>
      <w:tr w14:paraId="5DCE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14:paraId="296BBE4B">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i w:val="0"/>
                <w:iCs w:val="0"/>
                <w:caps w:val="0"/>
                <w:spacing w:val="0"/>
                <w:sz w:val="28"/>
                <w:szCs w:val="28"/>
                <w:shd w:val="clear" w:color="auto" w:fill="FFFFFF"/>
                <w:lang w:val="en-US" w:eastAsia="zh-CN"/>
              </w:rPr>
              <w:t>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3A0F">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市</w:t>
            </w:r>
            <w:r>
              <w:rPr>
                <w:rFonts w:hint="eastAsia" w:ascii="仿宋" w:hAnsi="仿宋" w:eastAsia="仿宋" w:cs="仿宋"/>
                <w:sz w:val="28"/>
                <w:szCs w:val="28"/>
                <w:lang w:val="en-US" w:eastAsia="zh-CN"/>
              </w:rPr>
              <w:t>市场监督管理</w:t>
            </w:r>
            <w:bookmarkStart w:id="1" w:name="_GoBack"/>
            <w:bookmarkEnd w:id="1"/>
            <w:r>
              <w:rPr>
                <w:rFonts w:hint="eastAsia" w:ascii="仿宋" w:hAnsi="仿宋" w:eastAsia="仿宋" w:cs="仿宋"/>
                <w:sz w:val="28"/>
                <w:szCs w:val="28"/>
              </w:rPr>
              <w:t>局</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0E99">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企业注册、股东信息</w:t>
            </w:r>
          </w:p>
        </w:tc>
      </w:tr>
      <w:tr w14:paraId="403C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14:paraId="1F507EBA">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default"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i w:val="0"/>
                <w:iCs w:val="0"/>
                <w:caps w:val="0"/>
                <w:spacing w:val="0"/>
                <w:sz w:val="28"/>
                <w:szCs w:val="28"/>
                <w:shd w:val="clear" w:color="auto" w:fill="FFFFFF"/>
                <w:lang w:val="en-US" w:eastAsia="zh-CN"/>
              </w:rPr>
              <w:t>10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0241">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市农业农村局</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6049">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农产品、牲畜养殖</w:t>
            </w:r>
          </w:p>
        </w:tc>
      </w:tr>
      <w:tr w14:paraId="27DF5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14:paraId="11118EAD">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default"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i w:val="0"/>
                <w:iCs w:val="0"/>
                <w:caps w:val="0"/>
                <w:spacing w:val="0"/>
                <w:sz w:val="28"/>
                <w:szCs w:val="28"/>
                <w:shd w:val="clear" w:color="auto" w:fill="FFFFFF"/>
                <w:lang w:val="en-US" w:eastAsia="zh-CN"/>
              </w:rPr>
              <w:t>11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83ED">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市教育局</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50B8">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学院划片区数据</w:t>
            </w:r>
          </w:p>
        </w:tc>
      </w:tr>
      <w:tr w14:paraId="1C76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14:paraId="7C7AAE99">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default"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i w:val="0"/>
                <w:iCs w:val="0"/>
                <w:caps w:val="0"/>
                <w:spacing w:val="0"/>
                <w:sz w:val="28"/>
                <w:szCs w:val="28"/>
                <w:shd w:val="clear" w:color="auto" w:fill="FFFFFF"/>
                <w:lang w:val="en-US" w:eastAsia="zh-CN"/>
              </w:rPr>
              <w:t>12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1FF7">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市交管局</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EE25">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车辆登记、抵押、二手车</w:t>
            </w:r>
          </w:p>
        </w:tc>
      </w:tr>
      <w:tr w14:paraId="1B86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14:paraId="5ECDDDCE">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default"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i w:val="0"/>
                <w:iCs w:val="0"/>
                <w:caps w:val="0"/>
                <w:spacing w:val="0"/>
                <w:sz w:val="28"/>
                <w:szCs w:val="28"/>
                <w:shd w:val="clear" w:color="auto" w:fill="FFFFFF"/>
                <w:lang w:val="en-US" w:eastAsia="zh-CN"/>
              </w:rPr>
              <w:t>13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F05D">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市税务局</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9D34">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企业缴税信息</w:t>
            </w:r>
          </w:p>
        </w:tc>
      </w:tr>
      <w:tr w14:paraId="789C2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14:paraId="0FEE1D05">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default"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i w:val="0"/>
                <w:iCs w:val="0"/>
                <w:caps w:val="0"/>
                <w:spacing w:val="0"/>
                <w:sz w:val="28"/>
                <w:szCs w:val="28"/>
                <w:shd w:val="clear" w:color="auto" w:fill="FFFFFF"/>
                <w:lang w:val="en-US" w:eastAsia="zh-CN"/>
              </w:rPr>
              <w:t>14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E64F">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市国动办</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5AFC">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国动办人防结建工程数据</w:t>
            </w:r>
          </w:p>
        </w:tc>
      </w:tr>
      <w:tr w14:paraId="1F44F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14:paraId="1AD55320">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default"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i w:val="0"/>
                <w:iCs w:val="0"/>
                <w:caps w:val="0"/>
                <w:spacing w:val="0"/>
                <w:sz w:val="28"/>
                <w:szCs w:val="28"/>
                <w:shd w:val="clear" w:color="auto" w:fill="FFFFFF"/>
                <w:lang w:val="en-US" w:eastAsia="zh-CN"/>
              </w:rPr>
              <w:t>15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800F">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市交通局</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E7FD">
            <w:pPr>
              <w:keepNext w:val="0"/>
              <w:keepLines w:val="0"/>
              <w:pageBreakBefore w:val="0"/>
              <w:widowControl w:val="0"/>
              <w:kinsoku/>
              <w:wordWrap/>
              <w:overflowPunct w:val="0"/>
              <w:topLinePunct w:val="0"/>
              <w:autoSpaceDE/>
              <w:autoSpaceDN/>
              <w:bidi w:val="0"/>
              <w:adjustRightInd/>
              <w:snapToGrid/>
              <w:spacing w:after="0" w:line="300" w:lineRule="exact"/>
              <w:ind w:firstLine="0" w:firstLineChars="0"/>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运输企业</w:t>
            </w:r>
          </w:p>
        </w:tc>
      </w:tr>
    </w:tbl>
    <w:p w14:paraId="5AFA33A4">
      <w:pPr>
        <w:pStyle w:val="7"/>
        <w:jc w:val="both"/>
        <w:rPr>
          <w:rFonts w:hint="eastAsia"/>
          <w:lang w:val="en-US" w:eastAsia="zh-CN"/>
        </w:rPr>
      </w:pPr>
    </w:p>
    <w:sectPr>
      <w:pgSz w:w="11906" w:h="16838"/>
      <w:pgMar w:top="1984" w:right="1565" w:bottom="1984" w:left="156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A8B145-20E5-4ADA-81CD-A28949625D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62C61E9C-D498-405A-8DB6-52422C2D3395}"/>
  </w:font>
  <w:font w:name="方正大标宋简体">
    <w:panose1 w:val="03000509000000000000"/>
    <w:charset w:val="86"/>
    <w:family w:val="auto"/>
    <w:pitch w:val="default"/>
    <w:sig w:usb0="00000001" w:usb1="080E0000" w:usb2="00000000" w:usb3="00000000" w:csb0="00040000" w:csb1="00000000"/>
    <w:embedRegular r:id="rId3" w:fontKey="{5EA0B863-43A8-4718-AF90-D72088ECE8CD}"/>
  </w:font>
  <w:font w:name="方正小标宋简体">
    <w:panose1 w:val="03000509000000000000"/>
    <w:charset w:val="86"/>
    <w:family w:val="auto"/>
    <w:pitch w:val="default"/>
    <w:sig w:usb0="00000001" w:usb1="080E0000" w:usb2="00000000" w:usb3="00000000" w:csb0="00040000" w:csb1="00000000"/>
    <w:embedRegular r:id="rId4" w:fontKey="{5A50F577-2512-4CD6-BF54-29B098DA9F06}"/>
  </w:font>
  <w:font w:name="仿宋">
    <w:panose1 w:val="02010609060101010101"/>
    <w:charset w:val="86"/>
    <w:family w:val="modern"/>
    <w:pitch w:val="default"/>
    <w:sig w:usb0="800002BF" w:usb1="38CF7CFA" w:usb2="00000016" w:usb3="00000000" w:csb0="00040001" w:csb1="00000000"/>
    <w:embedRegular r:id="rId5" w:fontKey="{26A63667-C466-4AAF-8A8B-128FB20C766F}"/>
  </w:font>
  <w:font w:name="楷体_GB2312">
    <w:panose1 w:val="02010609030101010101"/>
    <w:charset w:val="86"/>
    <w:family w:val="auto"/>
    <w:pitch w:val="default"/>
    <w:sig w:usb0="00000001" w:usb1="080E0000" w:usb2="00000000" w:usb3="00000000" w:csb0="00040000" w:csb1="00000000"/>
    <w:embedRegular r:id="rId6" w:fontKey="{2C8B190B-AB1C-49A7-889A-E36078E1CA9D}"/>
  </w:font>
  <w:font w:name="楷体">
    <w:panose1 w:val="02010609060101010101"/>
    <w:charset w:val="86"/>
    <w:family w:val="modern"/>
    <w:pitch w:val="default"/>
    <w:sig w:usb0="800002BF" w:usb1="38CF7CFA" w:usb2="00000016" w:usb3="00000000" w:csb0="00040001" w:csb1="00000000"/>
    <w:embedRegular r:id="rId7" w:fontKey="{72167357-3A89-4EA7-8707-88E68FAE814E}"/>
  </w:font>
  <w:font w:name="方正公文小标宋">
    <w:panose1 w:val="02000500000000000000"/>
    <w:charset w:val="86"/>
    <w:family w:val="auto"/>
    <w:pitch w:val="default"/>
    <w:sig w:usb0="A00002BF" w:usb1="38CF7CFA" w:usb2="00000016" w:usb3="00000000" w:csb0="00040001" w:csb1="00000000"/>
    <w:embedRegular r:id="rId8" w:fontKey="{31BEE7BC-25F4-4770-96AB-7F82CC8D6392}"/>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5">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23EB0C"/>
    <w:multiLevelType w:val="singleLevel"/>
    <w:tmpl w:val="5123EB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mZmE5M2RmNmYwN2U2ZWMwZWM0N2M0YzdkNzY0Y2EifQ=="/>
    <w:docVar w:name="KSO_WPS_MARK_KEY" w:val="a39661c8-19b0-483d-860d-57c09f0e2337"/>
  </w:docVars>
  <w:rsids>
    <w:rsidRoot w:val="0374225C"/>
    <w:rsid w:val="00005434"/>
    <w:rsid w:val="000131AD"/>
    <w:rsid w:val="00024CD2"/>
    <w:rsid w:val="00035B50"/>
    <w:rsid w:val="000518F9"/>
    <w:rsid w:val="00081179"/>
    <w:rsid w:val="0008638F"/>
    <w:rsid w:val="000A2FA4"/>
    <w:rsid w:val="000A5930"/>
    <w:rsid w:val="000A5BDF"/>
    <w:rsid w:val="000A6A4C"/>
    <w:rsid w:val="000B49B7"/>
    <w:rsid w:val="000C5BA6"/>
    <w:rsid w:val="000C664A"/>
    <w:rsid w:val="000D08DB"/>
    <w:rsid w:val="000D0C49"/>
    <w:rsid w:val="000D0C54"/>
    <w:rsid w:val="000D439A"/>
    <w:rsid w:val="000E6177"/>
    <w:rsid w:val="000F2BF2"/>
    <w:rsid w:val="000F5613"/>
    <w:rsid w:val="00105687"/>
    <w:rsid w:val="001108F3"/>
    <w:rsid w:val="00113473"/>
    <w:rsid w:val="00151645"/>
    <w:rsid w:val="00162C42"/>
    <w:rsid w:val="00163C3F"/>
    <w:rsid w:val="0017309F"/>
    <w:rsid w:val="00183594"/>
    <w:rsid w:val="001869D4"/>
    <w:rsid w:val="001A7BF2"/>
    <w:rsid w:val="001B0E27"/>
    <w:rsid w:val="001B3023"/>
    <w:rsid w:val="001C1584"/>
    <w:rsid w:val="001C4F3C"/>
    <w:rsid w:val="001D7825"/>
    <w:rsid w:val="001D7AFB"/>
    <w:rsid w:val="001E04D7"/>
    <w:rsid w:val="002220DB"/>
    <w:rsid w:val="00223279"/>
    <w:rsid w:val="002245C4"/>
    <w:rsid w:val="00225BEA"/>
    <w:rsid w:val="002510E5"/>
    <w:rsid w:val="00251FDD"/>
    <w:rsid w:val="002561D4"/>
    <w:rsid w:val="00287B97"/>
    <w:rsid w:val="002D6D6F"/>
    <w:rsid w:val="002D7DAE"/>
    <w:rsid w:val="00317B85"/>
    <w:rsid w:val="00344E5E"/>
    <w:rsid w:val="00346140"/>
    <w:rsid w:val="00356A42"/>
    <w:rsid w:val="00357004"/>
    <w:rsid w:val="00357B4B"/>
    <w:rsid w:val="00381AB4"/>
    <w:rsid w:val="00391975"/>
    <w:rsid w:val="003978F9"/>
    <w:rsid w:val="003A4AEA"/>
    <w:rsid w:val="003B7E56"/>
    <w:rsid w:val="003C3B3D"/>
    <w:rsid w:val="003E1F20"/>
    <w:rsid w:val="003E31EF"/>
    <w:rsid w:val="00407D79"/>
    <w:rsid w:val="0043681B"/>
    <w:rsid w:val="004370BF"/>
    <w:rsid w:val="004410E6"/>
    <w:rsid w:val="004440C1"/>
    <w:rsid w:val="00444EA9"/>
    <w:rsid w:val="004523B3"/>
    <w:rsid w:val="004547E9"/>
    <w:rsid w:val="004549F4"/>
    <w:rsid w:val="00457851"/>
    <w:rsid w:val="00464D12"/>
    <w:rsid w:val="0046510C"/>
    <w:rsid w:val="004721E9"/>
    <w:rsid w:val="004948A6"/>
    <w:rsid w:val="00495386"/>
    <w:rsid w:val="004A291D"/>
    <w:rsid w:val="004C079E"/>
    <w:rsid w:val="004E4AD6"/>
    <w:rsid w:val="004E4D33"/>
    <w:rsid w:val="004E7780"/>
    <w:rsid w:val="005004C7"/>
    <w:rsid w:val="00511367"/>
    <w:rsid w:val="00511EB7"/>
    <w:rsid w:val="00545C0B"/>
    <w:rsid w:val="0057247F"/>
    <w:rsid w:val="0057306E"/>
    <w:rsid w:val="00586E3D"/>
    <w:rsid w:val="005A1A63"/>
    <w:rsid w:val="005A398A"/>
    <w:rsid w:val="005D10B1"/>
    <w:rsid w:val="005D41FA"/>
    <w:rsid w:val="005D4D46"/>
    <w:rsid w:val="005D7643"/>
    <w:rsid w:val="005E21CE"/>
    <w:rsid w:val="0060250C"/>
    <w:rsid w:val="0060633D"/>
    <w:rsid w:val="00614292"/>
    <w:rsid w:val="00617BAB"/>
    <w:rsid w:val="0063437E"/>
    <w:rsid w:val="00645B84"/>
    <w:rsid w:val="006468F6"/>
    <w:rsid w:val="00647282"/>
    <w:rsid w:val="006503DC"/>
    <w:rsid w:val="00654A4D"/>
    <w:rsid w:val="00662081"/>
    <w:rsid w:val="00680B05"/>
    <w:rsid w:val="006827EA"/>
    <w:rsid w:val="006920F4"/>
    <w:rsid w:val="006A06FA"/>
    <w:rsid w:val="006B4186"/>
    <w:rsid w:val="006C5275"/>
    <w:rsid w:val="006E6DA4"/>
    <w:rsid w:val="006F040E"/>
    <w:rsid w:val="006F3789"/>
    <w:rsid w:val="006F7C7F"/>
    <w:rsid w:val="007024E4"/>
    <w:rsid w:val="007228EE"/>
    <w:rsid w:val="00725539"/>
    <w:rsid w:val="00732B6F"/>
    <w:rsid w:val="00736476"/>
    <w:rsid w:val="00740B7A"/>
    <w:rsid w:val="007450EF"/>
    <w:rsid w:val="0075673F"/>
    <w:rsid w:val="00764B30"/>
    <w:rsid w:val="007650EE"/>
    <w:rsid w:val="007814F5"/>
    <w:rsid w:val="007833F5"/>
    <w:rsid w:val="0078405A"/>
    <w:rsid w:val="007B54B4"/>
    <w:rsid w:val="007C4320"/>
    <w:rsid w:val="007C5EBE"/>
    <w:rsid w:val="00804B9E"/>
    <w:rsid w:val="00804BF0"/>
    <w:rsid w:val="008207CC"/>
    <w:rsid w:val="008373BC"/>
    <w:rsid w:val="00855410"/>
    <w:rsid w:val="00855ECB"/>
    <w:rsid w:val="00857267"/>
    <w:rsid w:val="00857D95"/>
    <w:rsid w:val="008605D7"/>
    <w:rsid w:val="00871FFB"/>
    <w:rsid w:val="0088324A"/>
    <w:rsid w:val="00890FBF"/>
    <w:rsid w:val="008A3051"/>
    <w:rsid w:val="008B131A"/>
    <w:rsid w:val="008B39D5"/>
    <w:rsid w:val="008C015C"/>
    <w:rsid w:val="008D66A5"/>
    <w:rsid w:val="008F2949"/>
    <w:rsid w:val="00927759"/>
    <w:rsid w:val="00936B7C"/>
    <w:rsid w:val="00941B5A"/>
    <w:rsid w:val="0094590D"/>
    <w:rsid w:val="009550FB"/>
    <w:rsid w:val="00963C59"/>
    <w:rsid w:val="00966421"/>
    <w:rsid w:val="009726EA"/>
    <w:rsid w:val="009830DC"/>
    <w:rsid w:val="009947AF"/>
    <w:rsid w:val="009A258F"/>
    <w:rsid w:val="009A7FDC"/>
    <w:rsid w:val="009B1E44"/>
    <w:rsid w:val="009D39B7"/>
    <w:rsid w:val="009D3ED3"/>
    <w:rsid w:val="009D74AB"/>
    <w:rsid w:val="009E68D2"/>
    <w:rsid w:val="009F184B"/>
    <w:rsid w:val="00A335BB"/>
    <w:rsid w:val="00A513AC"/>
    <w:rsid w:val="00A549F3"/>
    <w:rsid w:val="00A554A0"/>
    <w:rsid w:val="00A60FE4"/>
    <w:rsid w:val="00A72E27"/>
    <w:rsid w:val="00A94B6C"/>
    <w:rsid w:val="00A95B93"/>
    <w:rsid w:val="00AB04FB"/>
    <w:rsid w:val="00AB46A8"/>
    <w:rsid w:val="00AB4A1C"/>
    <w:rsid w:val="00AB54F3"/>
    <w:rsid w:val="00AD14DC"/>
    <w:rsid w:val="00AD1F26"/>
    <w:rsid w:val="00AE1D7F"/>
    <w:rsid w:val="00AE3A58"/>
    <w:rsid w:val="00AE68C2"/>
    <w:rsid w:val="00B22048"/>
    <w:rsid w:val="00B35A8A"/>
    <w:rsid w:val="00B47C1C"/>
    <w:rsid w:val="00B5462F"/>
    <w:rsid w:val="00B60391"/>
    <w:rsid w:val="00B61E98"/>
    <w:rsid w:val="00B7205F"/>
    <w:rsid w:val="00B72730"/>
    <w:rsid w:val="00B73370"/>
    <w:rsid w:val="00B77875"/>
    <w:rsid w:val="00B956BF"/>
    <w:rsid w:val="00BA12C3"/>
    <w:rsid w:val="00BC093D"/>
    <w:rsid w:val="00BD7561"/>
    <w:rsid w:val="00BD7CE5"/>
    <w:rsid w:val="00BE7333"/>
    <w:rsid w:val="00BF4579"/>
    <w:rsid w:val="00C134CA"/>
    <w:rsid w:val="00C25804"/>
    <w:rsid w:val="00C502AD"/>
    <w:rsid w:val="00C50ABB"/>
    <w:rsid w:val="00C55DC4"/>
    <w:rsid w:val="00C61CFD"/>
    <w:rsid w:val="00C77663"/>
    <w:rsid w:val="00C86E42"/>
    <w:rsid w:val="00CB3C94"/>
    <w:rsid w:val="00CD7611"/>
    <w:rsid w:val="00D345C4"/>
    <w:rsid w:val="00D34C5B"/>
    <w:rsid w:val="00D37474"/>
    <w:rsid w:val="00D409BC"/>
    <w:rsid w:val="00D434F5"/>
    <w:rsid w:val="00D5652B"/>
    <w:rsid w:val="00D609F7"/>
    <w:rsid w:val="00D7092D"/>
    <w:rsid w:val="00D71C72"/>
    <w:rsid w:val="00D742E6"/>
    <w:rsid w:val="00D8540E"/>
    <w:rsid w:val="00D92AD4"/>
    <w:rsid w:val="00DD4243"/>
    <w:rsid w:val="00DD7A5E"/>
    <w:rsid w:val="00DF3C0C"/>
    <w:rsid w:val="00DF7220"/>
    <w:rsid w:val="00E059AB"/>
    <w:rsid w:val="00E27FEA"/>
    <w:rsid w:val="00E423BB"/>
    <w:rsid w:val="00E474DF"/>
    <w:rsid w:val="00E564D6"/>
    <w:rsid w:val="00E617DF"/>
    <w:rsid w:val="00E662F4"/>
    <w:rsid w:val="00E7570E"/>
    <w:rsid w:val="00E916D3"/>
    <w:rsid w:val="00E9634A"/>
    <w:rsid w:val="00EB16CB"/>
    <w:rsid w:val="00EC09DD"/>
    <w:rsid w:val="00EC47EC"/>
    <w:rsid w:val="00ED66FC"/>
    <w:rsid w:val="00ED7CE9"/>
    <w:rsid w:val="00EE6D34"/>
    <w:rsid w:val="00EF033E"/>
    <w:rsid w:val="00EF7745"/>
    <w:rsid w:val="00F03B10"/>
    <w:rsid w:val="00F218FD"/>
    <w:rsid w:val="00F32127"/>
    <w:rsid w:val="00F52EA2"/>
    <w:rsid w:val="00F5769D"/>
    <w:rsid w:val="00F61F6A"/>
    <w:rsid w:val="00F67ED9"/>
    <w:rsid w:val="00F743E1"/>
    <w:rsid w:val="00F81434"/>
    <w:rsid w:val="00F85485"/>
    <w:rsid w:val="00F97711"/>
    <w:rsid w:val="00FA36F3"/>
    <w:rsid w:val="00FC369E"/>
    <w:rsid w:val="00FC444E"/>
    <w:rsid w:val="014B7C8C"/>
    <w:rsid w:val="016B772C"/>
    <w:rsid w:val="01730582"/>
    <w:rsid w:val="02B40E52"/>
    <w:rsid w:val="02CA1676"/>
    <w:rsid w:val="0374225C"/>
    <w:rsid w:val="039556DF"/>
    <w:rsid w:val="04C715E5"/>
    <w:rsid w:val="05521DA0"/>
    <w:rsid w:val="05AF5AAD"/>
    <w:rsid w:val="05C078B1"/>
    <w:rsid w:val="060C2CEA"/>
    <w:rsid w:val="061C0FDE"/>
    <w:rsid w:val="062B718A"/>
    <w:rsid w:val="06F32BF7"/>
    <w:rsid w:val="070A050D"/>
    <w:rsid w:val="0744651C"/>
    <w:rsid w:val="0759609B"/>
    <w:rsid w:val="07945C38"/>
    <w:rsid w:val="07F92F9D"/>
    <w:rsid w:val="081D5DB7"/>
    <w:rsid w:val="08613140"/>
    <w:rsid w:val="08AA1318"/>
    <w:rsid w:val="08DD0435"/>
    <w:rsid w:val="09567328"/>
    <w:rsid w:val="09A36F3C"/>
    <w:rsid w:val="09B63DE8"/>
    <w:rsid w:val="09B96D4E"/>
    <w:rsid w:val="0AB654F5"/>
    <w:rsid w:val="0AED100C"/>
    <w:rsid w:val="0B0613EB"/>
    <w:rsid w:val="0B064142"/>
    <w:rsid w:val="0B3E57EC"/>
    <w:rsid w:val="0B486ADB"/>
    <w:rsid w:val="0B5A00BC"/>
    <w:rsid w:val="0C12663D"/>
    <w:rsid w:val="0C454849"/>
    <w:rsid w:val="0C8C0749"/>
    <w:rsid w:val="0C913FB2"/>
    <w:rsid w:val="0CB10376"/>
    <w:rsid w:val="0CEE31B2"/>
    <w:rsid w:val="0CF62067"/>
    <w:rsid w:val="0CF97BF8"/>
    <w:rsid w:val="0D0E36C4"/>
    <w:rsid w:val="0F5B2666"/>
    <w:rsid w:val="10142F30"/>
    <w:rsid w:val="10423A34"/>
    <w:rsid w:val="108230A5"/>
    <w:rsid w:val="10AD4765"/>
    <w:rsid w:val="10B169D0"/>
    <w:rsid w:val="10D12BCF"/>
    <w:rsid w:val="11EC57E6"/>
    <w:rsid w:val="127E56F1"/>
    <w:rsid w:val="12B73FDB"/>
    <w:rsid w:val="13306A37"/>
    <w:rsid w:val="134114F9"/>
    <w:rsid w:val="134F0758"/>
    <w:rsid w:val="14464F25"/>
    <w:rsid w:val="149A3C1F"/>
    <w:rsid w:val="15673A91"/>
    <w:rsid w:val="15A00DC2"/>
    <w:rsid w:val="16001B8F"/>
    <w:rsid w:val="16726C02"/>
    <w:rsid w:val="16E96798"/>
    <w:rsid w:val="175B1444"/>
    <w:rsid w:val="17F662DD"/>
    <w:rsid w:val="1835327A"/>
    <w:rsid w:val="18467526"/>
    <w:rsid w:val="18DF6EA4"/>
    <w:rsid w:val="190B0808"/>
    <w:rsid w:val="196D161F"/>
    <w:rsid w:val="196F7429"/>
    <w:rsid w:val="19F65454"/>
    <w:rsid w:val="1A5E3C5E"/>
    <w:rsid w:val="1AE6663D"/>
    <w:rsid w:val="1BB86563"/>
    <w:rsid w:val="1BCB656C"/>
    <w:rsid w:val="1BCE6192"/>
    <w:rsid w:val="1F7C37A1"/>
    <w:rsid w:val="20496B6E"/>
    <w:rsid w:val="210F0963"/>
    <w:rsid w:val="222F59A7"/>
    <w:rsid w:val="22321E0A"/>
    <w:rsid w:val="224551CB"/>
    <w:rsid w:val="232C1EE7"/>
    <w:rsid w:val="23E97DD8"/>
    <w:rsid w:val="249A1DD6"/>
    <w:rsid w:val="2503311B"/>
    <w:rsid w:val="250671CD"/>
    <w:rsid w:val="25754019"/>
    <w:rsid w:val="26055EE5"/>
    <w:rsid w:val="260B3AE0"/>
    <w:rsid w:val="26971D6D"/>
    <w:rsid w:val="26C700AD"/>
    <w:rsid w:val="279066BB"/>
    <w:rsid w:val="28466A4F"/>
    <w:rsid w:val="289F1401"/>
    <w:rsid w:val="29290FE4"/>
    <w:rsid w:val="2A42653B"/>
    <w:rsid w:val="2A52100F"/>
    <w:rsid w:val="2AD45763"/>
    <w:rsid w:val="2C470AB3"/>
    <w:rsid w:val="2C481B37"/>
    <w:rsid w:val="2D145EC5"/>
    <w:rsid w:val="2D99286E"/>
    <w:rsid w:val="2E0734A1"/>
    <w:rsid w:val="2E4439BD"/>
    <w:rsid w:val="2E564889"/>
    <w:rsid w:val="2F41731B"/>
    <w:rsid w:val="2F8512FC"/>
    <w:rsid w:val="2F864D69"/>
    <w:rsid w:val="2FF34355"/>
    <w:rsid w:val="302437A8"/>
    <w:rsid w:val="302C5C1C"/>
    <w:rsid w:val="305A1716"/>
    <w:rsid w:val="30DD0CC4"/>
    <w:rsid w:val="31A82845"/>
    <w:rsid w:val="32273A57"/>
    <w:rsid w:val="32315D79"/>
    <w:rsid w:val="32CF0FCD"/>
    <w:rsid w:val="33E25A6E"/>
    <w:rsid w:val="340D21DB"/>
    <w:rsid w:val="342B6971"/>
    <w:rsid w:val="343B77AA"/>
    <w:rsid w:val="34675474"/>
    <w:rsid w:val="346D709C"/>
    <w:rsid w:val="34D67F04"/>
    <w:rsid w:val="356279EA"/>
    <w:rsid w:val="356C15C7"/>
    <w:rsid w:val="36015455"/>
    <w:rsid w:val="360B340E"/>
    <w:rsid w:val="361F28FE"/>
    <w:rsid w:val="36A24542"/>
    <w:rsid w:val="36C02C1A"/>
    <w:rsid w:val="36C24BE4"/>
    <w:rsid w:val="37042DCD"/>
    <w:rsid w:val="37170A35"/>
    <w:rsid w:val="374E6478"/>
    <w:rsid w:val="37FE7E9E"/>
    <w:rsid w:val="3823015D"/>
    <w:rsid w:val="38561A88"/>
    <w:rsid w:val="399B6783"/>
    <w:rsid w:val="3AA840F1"/>
    <w:rsid w:val="3B325089"/>
    <w:rsid w:val="3B84690C"/>
    <w:rsid w:val="3B9D5C20"/>
    <w:rsid w:val="3C033B87"/>
    <w:rsid w:val="3C3A0476"/>
    <w:rsid w:val="3C6544D0"/>
    <w:rsid w:val="3CB52303"/>
    <w:rsid w:val="3CE27A3F"/>
    <w:rsid w:val="3D2B489B"/>
    <w:rsid w:val="3D79494A"/>
    <w:rsid w:val="3D7A6CFF"/>
    <w:rsid w:val="3F6C6E68"/>
    <w:rsid w:val="3F8276CA"/>
    <w:rsid w:val="3FC91A13"/>
    <w:rsid w:val="3FF34735"/>
    <w:rsid w:val="40EF6587"/>
    <w:rsid w:val="410858E9"/>
    <w:rsid w:val="41207887"/>
    <w:rsid w:val="418611A7"/>
    <w:rsid w:val="41887967"/>
    <w:rsid w:val="41AE53A2"/>
    <w:rsid w:val="41D148CB"/>
    <w:rsid w:val="41E00614"/>
    <w:rsid w:val="424B297D"/>
    <w:rsid w:val="424D7975"/>
    <w:rsid w:val="43160791"/>
    <w:rsid w:val="43591DDA"/>
    <w:rsid w:val="43746A4F"/>
    <w:rsid w:val="43BC7D2B"/>
    <w:rsid w:val="43D94DF1"/>
    <w:rsid w:val="44B43423"/>
    <w:rsid w:val="44C76A0E"/>
    <w:rsid w:val="45101210"/>
    <w:rsid w:val="4519366C"/>
    <w:rsid w:val="47571146"/>
    <w:rsid w:val="47A24BF9"/>
    <w:rsid w:val="47A45073"/>
    <w:rsid w:val="47C86476"/>
    <w:rsid w:val="485540AE"/>
    <w:rsid w:val="49112567"/>
    <w:rsid w:val="49601602"/>
    <w:rsid w:val="496E4757"/>
    <w:rsid w:val="4A022010"/>
    <w:rsid w:val="4A7E7924"/>
    <w:rsid w:val="4A934C78"/>
    <w:rsid w:val="4B2525C2"/>
    <w:rsid w:val="4B377C74"/>
    <w:rsid w:val="4B7103C2"/>
    <w:rsid w:val="4BDC1C70"/>
    <w:rsid w:val="4C5900BC"/>
    <w:rsid w:val="4C897919"/>
    <w:rsid w:val="4D8A7EFF"/>
    <w:rsid w:val="4ED52A6C"/>
    <w:rsid w:val="4EF5608A"/>
    <w:rsid w:val="4F5010E4"/>
    <w:rsid w:val="4F5B752C"/>
    <w:rsid w:val="50260B79"/>
    <w:rsid w:val="50CC248F"/>
    <w:rsid w:val="510916F6"/>
    <w:rsid w:val="51137674"/>
    <w:rsid w:val="515662A6"/>
    <w:rsid w:val="51AB02C4"/>
    <w:rsid w:val="53725E9B"/>
    <w:rsid w:val="540D4D1C"/>
    <w:rsid w:val="54920F49"/>
    <w:rsid w:val="55F674E6"/>
    <w:rsid w:val="56617AA3"/>
    <w:rsid w:val="56675985"/>
    <w:rsid w:val="567333AD"/>
    <w:rsid w:val="56C509CE"/>
    <w:rsid w:val="57564478"/>
    <w:rsid w:val="57594C6B"/>
    <w:rsid w:val="57985931"/>
    <w:rsid w:val="57B91294"/>
    <w:rsid w:val="583564AB"/>
    <w:rsid w:val="58497766"/>
    <w:rsid w:val="594E2380"/>
    <w:rsid w:val="596516D3"/>
    <w:rsid w:val="5A7616BE"/>
    <w:rsid w:val="5A9F787F"/>
    <w:rsid w:val="5ADA39FB"/>
    <w:rsid w:val="5BA92D4B"/>
    <w:rsid w:val="5CD222DE"/>
    <w:rsid w:val="5D284EF1"/>
    <w:rsid w:val="5D3002F3"/>
    <w:rsid w:val="5D996534"/>
    <w:rsid w:val="5EC424D2"/>
    <w:rsid w:val="5F0C439F"/>
    <w:rsid w:val="604270EF"/>
    <w:rsid w:val="606B5510"/>
    <w:rsid w:val="607B4A16"/>
    <w:rsid w:val="60E2185B"/>
    <w:rsid w:val="60E43825"/>
    <w:rsid w:val="60E92BEA"/>
    <w:rsid w:val="61731E6C"/>
    <w:rsid w:val="61E433B1"/>
    <w:rsid w:val="64380936"/>
    <w:rsid w:val="6489557F"/>
    <w:rsid w:val="652C1284"/>
    <w:rsid w:val="65391E37"/>
    <w:rsid w:val="65F20792"/>
    <w:rsid w:val="66314803"/>
    <w:rsid w:val="66B87515"/>
    <w:rsid w:val="6744501E"/>
    <w:rsid w:val="6850354E"/>
    <w:rsid w:val="68AA17BF"/>
    <w:rsid w:val="68B70EFB"/>
    <w:rsid w:val="6AC16985"/>
    <w:rsid w:val="6AF101CD"/>
    <w:rsid w:val="6B1343E0"/>
    <w:rsid w:val="6B1B6011"/>
    <w:rsid w:val="6B356775"/>
    <w:rsid w:val="6BA47E4B"/>
    <w:rsid w:val="6C636F8A"/>
    <w:rsid w:val="6CD85ED3"/>
    <w:rsid w:val="6D67097B"/>
    <w:rsid w:val="6DC02F24"/>
    <w:rsid w:val="6E3A0F28"/>
    <w:rsid w:val="6FA849C3"/>
    <w:rsid w:val="71503AC8"/>
    <w:rsid w:val="72324FC1"/>
    <w:rsid w:val="72697390"/>
    <w:rsid w:val="72876B33"/>
    <w:rsid w:val="72AF2EBF"/>
    <w:rsid w:val="735412DD"/>
    <w:rsid w:val="73951831"/>
    <w:rsid w:val="74366038"/>
    <w:rsid w:val="74F31E31"/>
    <w:rsid w:val="75DE46F7"/>
    <w:rsid w:val="760F14F1"/>
    <w:rsid w:val="778049AC"/>
    <w:rsid w:val="77CE0FEB"/>
    <w:rsid w:val="7803757A"/>
    <w:rsid w:val="786A065C"/>
    <w:rsid w:val="78890255"/>
    <w:rsid w:val="78B85BFE"/>
    <w:rsid w:val="78F148D9"/>
    <w:rsid w:val="790F4D60"/>
    <w:rsid w:val="7952273A"/>
    <w:rsid w:val="7A152518"/>
    <w:rsid w:val="7C0D6250"/>
    <w:rsid w:val="7C315056"/>
    <w:rsid w:val="7CFD52CA"/>
    <w:rsid w:val="7D5D1DA1"/>
    <w:rsid w:val="7DDF73F6"/>
    <w:rsid w:val="7E3D485C"/>
    <w:rsid w:val="7E8A019C"/>
    <w:rsid w:val="7F3A6D99"/>
    <w:rsid w:val="7F941E61"/>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4"/>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560"/>
    </w:pPr>
    <w:rPr>
      <w:sz w:val="28"/>
      <w:lang w:eastAsia="en-US" w:bidi="en-US"/>
    </w:rPr>
  </w:style>
  <w:style w:type="paragraph" w:styleId="6">
    <w:name w:val="annotation text"/>
    <w:basedOn w:val="1"/>
    <w:qFormat/>
    <w:uiPriority w:val="0"/>
    <w:pPr>
      <w:jc w:val="left"/>
    </w:pPr>
  </w:style>
  <w:style w:type="paragraph" w:styleId="7">
    <w:name w:val="Body Text"/>
    <w:basedOn w:val="1"/>
    <w:next w:val="8"/>
    <w:qFormat/>
    <w:uiPriority w:val="0"/>
    <w:pPr>
      <w:spacing w:after="120" w:line="560" w:lineRule="exact"/>
      <w:jc w:val="center"/>
    </w:pPr>
  </w:style>
  <w:style w:type="paragraph" w:customStyle="1" w:styleId="8">
    <w:name w:val="封面字体3"/>
    <w:next w:val="9"/>
    <w:qFormat/>
    <w:uiPriority w:val="0"/>
    <w:pPr>
      <w:widowControl w:val="0"/>
      <w:spacing w:line="240" w:lineRule="atLeast"/>
      <w:jc w:val="both"/>
    </w:pPr>
    <w:rPr>
      <w:rFonts w:ascii="华文细黑" w:hAnsi="Calibri" w:eastAsia="黑体" w:cs="宋体"/>
      <w:color w:val="800000"/>
      <w:sz w:val="44"/>
      <w:szCs w:val="22"/>
      <w:lang w:val="en-US" w:eastAsia="zh-CN" w:bidi="ar-SA"/>
    </w:rPr>
  </w:style>
  <w:style w:type="paragraph" w:styleId="9">
    <w:name w:val="Body Text Indent"/>
    <w:basedOn w:val="1"/>
    <w:next w:val="1"/>
    <w:qFormat/>
    <w:uiPriority w:val="0"/>
    <w:pPr>
      <w:ind w:left="420" w:leftChars="200"/>
    </w:pPr>
    <w:rPr>
      <w:rFonts w:ascii="Calibri" w:hAnsi="Calibri" w:eastAsia="宋体" w:cs="Times New Roman"/>
    </w:rPr>
  </w:style>
  <w:style w:type="paragraph" w:styleId="10">
    <w:name w:val="Date"/>
    <w:basedOn w:val="1"/>
    <w:next w:val="1"/>
    <w:link w:val="20"/>
    <w:qFormat/>
    <w:uiPriority w:val="0"/>
    <w:pPr>
      <w:ind w:left="100" w:leftChars="2500"/>
    </w:pPr>
  </w:style>
  <w:style w:type="paragraph" w:styleId="11">
    <w:name w:val="Balloon Text"/>
    <w:basedOn w:val="1"/>
    <w:semiHidden/>
    <w:qFormat/>
    <w:uiPriority w:val="0"/>
    <w:rPr>
      <w:rFonts w:ascii="Times New Roman" w:hAnsi="Times New Roman" w:eastAsia="仿宋_GB2312" w:cs="Times New Roman"/>
      <w:sz w:val="18"/>
      <w:szCs w:val="18"/>
    </w:rPr>
  </w:style>
  <w:style w:type="paragraph" w:styleId="12">
    <w:name w:val="footer"/>
    <w:basedOn w:val="1"/>
    <w:link w:val="19"/>
    <w:qFormat/>
    <w:uiPriority w:val="0"/>
    <w:pPr>
      <w:tabs>
        <w:tab w:val="center" w:pos="4153"/>
        <w:tab w:val="right" w:pos="8306"/>
      </w:tabs>
      <w:snapToGrid w:val="0"/>
      <w:jc w:val="left"/>
    </w:pPr>
    <w:rPr>
      <w:sz w:val="18"/>
      <w:szCs w:val="18"/>
    </w:rPr>
  </w:style>
  <w:style w:type="paragraph" w:styleId="13">
    <w:name w:val="header"/>
    <w:basedOn w:val="1"/>
    <w:link w:val="18"/>
    <w:qFormat/>
    <w:uiPriority w:val="0"/>
    <w:pP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7">
    <w:name w:val="Strong"/>
    <w:basedOn w:val="16"/>
    <w:qFormat/>
    <w:uiPriority w:val="22"/>
    <w:rPr>
      <w:b/>
      <w:bCs/>
    </w:rPr>
  </w:style>
  <w:style w:type="character" w:customStyle="1" w:styleId="18">
    <w:name w:val="页眉 字符"/>
    <w:basedOn w:val="16"/>
    <w:link w:val="13"/>
    <w:qFormat/>
    <w:uiPriority w:val="0"/>
    <w:rPr>
      <w:kern w:val="2"/>
      <w:sz w:val="18"/>
      <w:szCs w:val="18"/>
    </w:rPr>
  </w:style>
  <w:style w:type="character" w:customStyle="1" w:styleId="19">
    <w:name w:val="页脚 字符"/>
    <w:basedOn w:val="16"/>
    <w:link w:val="12"/>
    <w:qFormat/>
    <w:uiPriority w:val="0"/>
    <w:rPr>
      <w:kern w:val="2"/>
      <w:sz w:val="18"/>
      <w:szCs w:val="18"/>
    </w:rPr>
  </w:style>
  <w:style w:type="character" w:customStyle="1" w:styleId="20">
    <w:name w:val="日期 字符"/>
    <w:basedOn w:val="16"/>
    <w:link w:val="10"/>
    <w:qFormat/>
    <w:uiPriority w:val="0"/>
    <w:rPr>
      <w:kern w:val="2"/>
      <w:sz w:val="21"/>
      <w:szCs w:val="24"/>
    </w:rPr>
  </w:style>
  <w:style w:type="character" w:customStyle="1" w:styleId="21">
    <w:name w:val="标题 3 字符"/>
    <w:basedOn w:val="16"/>
    <w:link w:val="5"/>
    <w:qFormat/>
    <w:uiPriority w:val="9"/>
    <w:rPr>
      <w:rFonts w:ascii="宋体" w:hAnsi="宋体" w:cs="宋体"/>
      <w:b/>
      <w:bCs/>
      <w:sz w:val="27"/>
      <w:szCs w:val="27"/>
    </w:rPr>
  </w:style>
  <w:style w:type="paragraph" w:customStyle="1" w:styleId="2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3">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24">
    <w:name w:val="标题 2 字符"/>
    <w:basedOn w:val="16"/>
    <w:link w:val="4"/>
    <w:semiHidden/>
    <w:qFormat/>
    <w:uiPriority w:val="0"/>
    <w:rPr>
      <w:rFonts w:asciiTheme="majorHAnsi" w:hAnsiTheme="majorHAnsi" w:eastAsiaTheme="majorEastAsia" w:cstheme="majorBidi"/>
      <w:b/>
      <w:bCs/>
      <w:kern w:val="2"/>
      <w:sz w:val="32"/>
      <w:szCs w:val="32"/>
    </w:rPr>
  </w:style>
  <w:style w:type="paragraph" w:customStyle="1" w:styleId="25">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6">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7">
    <w:name w:val="标题 1 字符"/>
    <w:basedOn w:val="16"/>
    <w:link w:val="3"/>
    <w:qFormat/>
    <w:uiPriority w:val="0"/>
    <w:rPr>
      <w:b/>
      <w:bCs/>
      <w:kern w:val="44"/>
      <w:sz w:val="44"/>
      <w:szCs w:val="44"/>
      <w:lang w:bidi="ar-SA"/>
    </w:rPr>
  </w:style>
  <w:style w:type="paragraph" w:styleId="28">
    <w:name w:val="List Paragraph"/>
    <w:basedOn w:val="1"/>
    <w:qFormat/>
    <w:uiPriority w:val="34"/>
    <w:pPr>
      <w:ind w:left="720"/>
      <w:contextualSpacing/>
    </w:pPr>
  </w:style>
  <w:style w:type="paragraph" w:customStyle="1" w:styleId="29">
    <w:name w:val="Char"/>
    <w:basedOn w:val="1"/>
    <w:qFormat/>
    <w:uiPriority w:val="0"/>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10</Pages>
  <Words>3669</Words>
  <Characters>3698</Characters>
  <Lines>35</Lines>
  <Paragraphs>10</Paragraphs>
  <TotalTime>23</TotalTime>
  <ScaleCrop>false</ScaleCrop>
  <LinksUpToDate>false</LinksUpToDate>
  <CharactersWithSpaces>3698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2024-09-13T08:38:00Z</dcterms:created>
  <dc:creator>档炔乒采质</dc:creator>
  <cp:lastModifiedBy>WPS_1625883245</cp:lastModifiedBy>
  <cp:lastPrinted>2026-01-07T00:39:00Z</cp:lastPrinted>
  <dcterms:modified xsi:type="dcterms:W3CDTF">2026-01-08T01:44:03Z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A576A629D8DF4A79880A2BAF31B0ABFD_13</vt:lpwstr>
  </property>
  <property fmtid="{D5CDD505-2E9C-101B-9397-08002B2CF9AE}" pid="4" name="KSOTemplateDocerSaveRecord">
    <vt:lpwstr>eyJoZGlkIjoiZGRjZGI2OTVlZDZlODM2M2Y3ZTUyZWM0MDEwYTg3MTIiLCJ1c2VySWQiOiIxMjMxNTE4Nzc5In0=</vt:lpwstr>
  </property>
</Properties>
</file>