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投诉处理、执法检查及评标专家经费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项目自评表</w:t>
      </w:r>
    </w:p>
    <w:p>
      <w:pPr>
        <w:widowControl/>
        <w:jc w:val="left"/>
        <w:rPr>
          <w:rFonts w:hint="default" w:ascii="楷体_GB2312" w:hAnsi="仿宋" w:eastAsia="楷体_GB2312" w:cs="楷体_GB2312"/>
          <w:kern w:val="0"/>
          <w:sz w:val="28"/>
          <w:szCs w:val="28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鄂州市行政审批局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 xml:space="preserve">  2023 年5月26日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投诉处理、执法检查及评标专家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  <w:t>鄂州市行政审批局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鄂州市行政审批局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0.15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培训人次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项目完成数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提升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培训合格率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项目完成情况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≥90%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项目按时完成率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项目完成率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提高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培训费用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项目的单位成本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tabs>
                <w:tab w:val="left" w:pos="527"/>
              </w:tabs>
              <w:snapToGrid w:val="0"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≤40000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提高评标能力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项目的社会效益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提高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群众满意度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评标专家满意度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项目的满意度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both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≥93%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因投诉处理、执法检查经费在预算填报中未明确，导致该相关费用未在此项目经费中支出；评标专家经费因疫情防疫要求，采用视频会议的方式进行培训，因此未支出该费用。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做好预算填报，在项目中列支投诉处理、执法检查经费项目，评标专家的培训按照相关要求进行线下正常培训。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  <w:sz w:val="22"/>
          <w:szCs w:val="24"/>
        </w:rPr>
      </w:pP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备注：</w:t>
      </w:r>
    </w:p>
    <w:p>
      <w:pPr>
        <w:widowControl/>
        <w:ind w:firstLine="440" w:firstLineChars="200"/>
        <w:rPr>
          <w:rFonts w:ascii="仿宋_GB2312" w:hAnsi="宋体" w:eastAsia="仿宋_GB2312" w:cs="Times New Roman"/>
          <w:kern w:val="0"/>
          <w:sz w:val="22"/>
          <w:szCs w:val="24"/>
        </w:rPr>
      </w:pPr>
      <w:r>
        <w:rPr>
          <w:rFonts w:ascii="仿宋_GB2312" w:hAnsi="宋体" w:eastAsia="仿宋_GB2312" w:cs="仿宋_GB2312"/>
          <w:kern w:val="0"/>
          <w:sz w:val="22"/>
          <w:szCs w:val="24"/>
        </w:rPr>
        <w:t>1.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40" w:firstLineChars="200"/>
        <w:rPr>
          <w:rFonts w:ascii="仿宋_GB2312" w:hAnsi="宋体" w:eastAsia="仿宋_GB2312" w:cs="Times New Roman"/>
          <w:kern w:val="0"/>
          <w:sz w:val="22"/>
          <w:szCs w:val="24"/>
        </w:rPr>
      </w:pPr>
      <w:r>
        <w:rPr>
          <w:rFonts w:ascii="仿宋_GB2312" w:hAnsi="宋体" w:eastAsia="仿宋_GB2312" w:cs="仿宋_GB2312"/>
          <w:kern w:val="0"/>
          <w:sz w:val="22"/>
          <w:szCs w:val="24"/>
        </w:rPr>
        <w:t>2.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  <w:sz w:val="22"/>
          <w:szCs w:val="24"/>
        </w:rPr>
        <w:t>X,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得分</w:t>
      </w:r>
      <w:r>
        <w:rPr>
          <w:rFonts w:ascii="仿宋_GB2312" w:hAnsi="宋体" w:eastAsia="仿宋_GB2312" w:cs="仿宋_GB2312"/>
          <w:kern w:val="0"/>
          <w:sz w:val="22"/>
          <w:szCs w:val="24"/>
        </w:rPr>
        <w:t>=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权重</w:t>
      </w:r>
      <w:r>
        <w:rPr>
          <w:rFonts w:ascii="仿宋_GB2312" w:hAnsi="宋体" w:eastAsia="仿宋_GB2312" w:cs="仿宋_GB2312"/>
          <w:kern w:val="0"/>
          <w:sz w:val="22"/>
          <w:szCs w:val="24"/>
        </w:rPr>
        <w:t>*B/A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），反向指标（即目标值为≤</w:t>
      </w:r>
      <w:r>
        <w:rPr>
          <w:rFonts w:ascii="仿宋_GB2312" w:hAnsi="宋体" w:eastAsia="仿宋_GB2312" w:cs="仿宋_GB2312"/>
          <w:kern w:val="0"/>
          <w:sz w:val="22"/>
          <w:szCs w:val="24"/>
        </w:rPr>
        <w:t>X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，得分</w:t>
      </w:r>
      <w:r>
        <w:rPr>
          <w:rFonts w:ascii="仿宋_GB2312" w:hAnsi="宋体" w:eastAsia="仿宋_GB2312" w:cs="仿宋_GB2312"/>
          <w:kern w:val="0"/>
          <w:sz w:val="22"/>
          <w:szCs w:val="24"/>
        </w:rPr>
        <w:t>=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权重</w:t>
      </w:r>
      <w:r>
        <w:rPr>
          <w:rFonts w:ascii="仿宋_GB2312" w:hAnsi="宋体" w:eastAsia="仿宋_GB2312" w:cs="仿宋_GB2312"/>
          <w:kern w:val="0"/>
          <w:sz w:val="22"/>
          <w:szCs w:val="24"/>
        </w:rPr>
        <w:t>*A/B）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，得分不得突破权重总额。定量指标先汇总完成数，再计算得分。</w:t>
      </w:r>
    </w:p>
    <w:p>
      <w:pPr>
        <w:widowControl/>
        <w:ind w:firstLine="440" w:firstLineChars="200"/>
        <w:rPr>
          <w:rFonts w:ascii="仿宋_GB2312" w:hAnsi="宋体" w:eastAsia="仿宋_GB2312" w:cs="Times New Roman"/>
          <w:kern w:val="0"/>
          <w:sz w:val="22"/>
          <w:szCs w:val="24"/>
        </w:rPr>
      </w:pPr>
      <w:r>
        <w:rPr>
          <w:rFonts w:ascii="仿宋_GB2312" w:hAnsi="宋体" w:eastAsia="仿宋_GB2312" w:cs="仿宋_GB2312"/>
          <w:kern w:val="0"/>
          <w:sz w:val="22"/>
          <w:szCs w:val="24"/>
        </w:rPr>
        <w:t>3.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  <w:sz w:val="22"/>
          <w:szCs w:val="24"/>
        </w:rPr>
        <w:t>100-80%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（含</w:t>
      </w:r>
      <w:r>
        <w:rPr>
          <w:rFonts w:ascii="仿宋_GB2312" w:hAnsi="宋体" w:eastAsia="仿宋_GB2312" w:cs="仿宋_GB2312"/>
          <w:kern w:val="0"/>
          <w:sz w:val="22"/>
          <w:szCs w:val="24"/>
        </w:rPr>
        <w:t>80%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）、</w:t>
      </w:r>
      <w:r>
        <w:rPr>
          <w:rFonts w:ascii="仿宋_GB2312" w:hAnsi="宋体" w:eastAsia="仿宋_GB2312" w:cs="仿宋_GB2312"/>
          <w:kern w:val="0"/>
          <w:sz w:val="22"/>
          <w:szCs w:val="24"/>
        </w:rPr>
        <w:t>80-50%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（含</w:t>
      </w:r>
      <w:r>
        <w:rPr>
          <w:rFonts w:ascii="仿宋_GB2312" w:hAnsi="宋体" w:eastAsia="仿宋_GB2312" w:cs="仿宋_GB2312"/>
          <w:kern w:val="0"/>
          <w:sz w:val="22"/>
          <w:szCs w:val="24"/>
        </w:rPr>
        <w:t>50%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）、</w:t>
      </w:r>
      <w:r>
        <w:rPr>
          <w:rFonts w:ascii="仿宋_GB2312" w:hAnsi="宋体" w:eastAsia="仿宋_GB2312" w:cs="仿宋_GB2312"/>
          <w:kern w:val="0"/>
          <w:sz w:val="22"/>
          <w:szCs w:val="24"/>
        </w:rPr>
        <w:t>50-0%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合理确定分值。汇总时，以资金额度为权重，对分值进行加权平均计算。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YjU3ZDdjNTI4MDBiMTUwNzc5YjMxZTMyYzE2ZDcifQ=="/>
  </w:docVars>
  <w:rsids>
    <w:rsidRoot w:val="00000000"/>
    <w:rsid w:val="00B52173"/>
    <w:rsid w:val="157B2B50"/>
    <w:rsid w:val="1ED913EC"/>
    <w:rsid w:val="2C6C32E1"/>
    <w:rsid w:val="331E7449"/>
    <w:rsid w:val="3E2528C8"/>
    <w:rsid w:val="48C11CD5"/>
    <w:rsid w:val="498427CA"/>
    <w:rsid w:val="50AE4761"/>
    <w:rsid w:val="511D718F"/>
    <w:rsid w:val="59C508C9"/>
    <w:rsid w:val="6127670D"/>
    <w:rsid w:val="6364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860</Words>
  <Characters>924</Characters>
  <Lines>0</Lines>
  <Paragraphs>0</Paragraphs>
  <TotalTime>3</TotalTime>
  <ScaleCrop>false</ScaleCrop>
  <LinksUpToDate>false</LinksUpToDate>
  <CharactersWithSpaces>967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芬达气泡</cp:lastModifiedBy>
  <dcterms:modified xsi:type="dcterms:W3CDTF">2023-05-30T02:52:30Z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6049BB5D19864D498E3D6266657E535D_13</vt:lpwstr>
  </property>
</Properties>
</file>